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80" w:righ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PROEXC nº 30, de 2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PROGRAMA DE 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4º CONCURSO LITERÁRIO DO IFPB</w:t>
      </w:r>
    </w:p>
    <w:p w:rsidR="00000000" w:rsidDel="00000000" w:rsidP="00000000" w:rsidRDefault="00000000" w:rsidRPr="00000000" w14:paraId="00000005">
      <w:pPr>
        <w:widowControl w:val="0"/>
        <w:spacing w:after="240" w:before="240" w:line="333.2029151916504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Homenagem à Maria Valéria Rezende e Kydelmir Dantas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tabs>
          <w:tab w:val="left" w:leader="none" w:pos="1440"/>
          <w:tab w:val="center" w:leader="none" w:pos="49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6"/>
          <w:szCs w:val="16"/>
          <w:u w:val="non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ebf1dd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 – MODELO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18"/>
        </w:tabs>
        <w:spacing w:line="276" w:lineRule="auto"/>
        <w:ind w:left="0" w:right="105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7890"/>
        <w:tblGridChange w:id="0">
          <w:tblGrid>
            <w:gridCol w:w="2130"/>
            <w:gridCol w:w="78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ARTÍSTICO OU PSEUDÔNIMO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XXX.XXX.XXX-XX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4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+55 DDD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TÍTULO DO TEXTO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right="105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ind w:left="0" w:right="105" w:firstLine="0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      ) Poesia  (       ) Cordel  (        ) Contos  (        ) Crônicas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818"/>
        </w:tabs>
        <w:spacing w:line="276" w:lineRule="auto"/>
        <w:ind w:left="0" w:right="105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18"/>
        </w:tabs>
        <w:spacing w:line="276" w:lineRule="auto"/>
        <w:ind w:left="0" w:right="105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t xml:space="preserve">Caro(a) autor(a), lembre-se que o texto</w:t>
      </w:r>
    </w:p>
    <w:p w:rsidR="00000000" w:rsidDel="00000000" w:rsidP="00000000" w:rsidRDefault="00000000" w:rsidRPr="00000000" w14:paraId="0000001D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t xml:space="preserve">deve ser escrito na fonte times new roman</w:t>
      </w:r>
    </w:p>
    <w:p w:rsidR="00000000" w:rsidDel="00000000" w:rsidP="00000000" w:rsidRDefault="00000000" w:rsidRPr="00000000" w14:paraId="0000001E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t xml:space="preserve">tamanho 12, espaçamento 1,5 entre linhas,</w:t>
      </w:r>
    </w:p>
    <w:p w:rsidR="00000000" w:rsidDel="00000000" w:rsidP="00000000" w:rsidRDefault="00000000" w:rsidRPr="00000000" w14:paraId="0000001F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t xml:space="preserve">com no máximo de 7 laudas </w:t>
      </w:r>
    </w:p>
    <w:p w:rsidR="00000000" w:rsidDel="00000000" w:rsidP="00000000" w:rsidRDefault="00000000" w:rsidRPr="00000000" w14:paraId="00000020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t xml:space="preserve">conforme está escrito esse pequeno texto.</w:t>
      </w:r>
    </w:p>
    <w:p w:rsidR="00000000" w:rsidDel="00000000" w:rsidP="00000000" w:rsidRDefault="00000000" w:rsidRPr="00000000" w14:paraId="00000021">
      <w:pPr>
        <w:tabs>
          <w:tab w:val="left" w:leader="none" w:pos="818"/>
        </w:tabs>
        <w:spacing w:line="360" w:lineRule="auto"/>
        <w:ind w:left="0" w:right="1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18"/>
        </w:tabs>
        <w:spacing w:line="360" w:lineRule="auto"/>
        <w:ind w:left="0" w:right="1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18"/>
        </w:tabs>
        <w:spacing w:line="360" w:lineRule="auto"/>
        <w:ind w:left="0" w:right="1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18"/>
        </w:tabs>
        <w:spacing w:line="360" w:lineRule="auto"/>
        <w:ind w:left="0" w:right="1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18"/>
        </w:tabs>
        <w:spacing w:line="360" w:lineRule="auto"/>
        <w:ind w:left="0" w:right="105" w:firstLine="0"/>
        <w:jc w:val="center"/>
        <w:rPr>
          <w:b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18"/>
        </w:tabs>
        <w:spacing w:line="360" w:lineRule="auto"/>
        <w:ind w:left="0" w:right="105" w:firstLine="0"/>
        <w:jc w:val="center"/>
        <w:rPr>
          <w:b w:val="1"/>
          <w:highlight w:val="red"/>
        </w:rPr>
      </w:pPr>
      <w:r w:rsidDel="00000000" w:rsidR="00000000" w:rsidRPr="00000000">
        <w:rPr>
          <w:b w:val="1"/>
          <w:highlight w:val="red"/>
          <w:rtl w:val="0"/>
        </w:rPr>
        <w:t xml:space="preserve">Não ultrapassar a página 7.</w:t>
      </w:r>
    </w:p>
    <w:sectPr>
      <w:headerReference r:id="rId6" w:type="default"/>
      <w:footerReference r:id="rId7" w:type="default"/>
      <w:pgSz w:h="16838" w:w="11906" w:orient="portrait"/>
      <w:pgMar w:bottom="488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2933700</wp:posOffset>
          </wp:positionH>
          <wp:positionV relativeFrom="paragraph">
            <wp:posOffset>-114299</wp:posOffset>
          </wp:positionV>
          <wp:extent cx="436245" cy="42989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6245" cy="429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76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PRÓ-REITORIA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9" w:right="0" w:hanging="54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