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REGISTRO DE CANDIDATURA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Eleição 2026 - Comissões Eleitorais Locais dos Campi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Matrícula: _______________________</w:t>
        <w:tab/>
        <w:t xml:space="preserve">Telefone: (___) 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 ser posto no ambiente de votação:  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E-mail Institucional: __________________________________________________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Requer registro de candidatura nas eleições para escolha dos membros da Comissão Local como representante do segmento: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Docente</w:t>
        <w:tab/>
        <w:t xml:space="preserve">(</w:t>
        <w:tab/>
        <w:t xml:space="preserve">) Téc. Administrativo</w:t>
        <w:tab/>
        <w:t xml:space="preserve">( ) Discente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Do(a):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  <w:tab/>
        <w:t xml:space="preserve">) Campus* 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Patos, Cajazeiras, Catolé do Rocha, Itaporanga, Princesa Isabel, Santa Luzia ou Sousa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59" w:line="360" w:lineRule="auto"/>
        <w:ind w:left="88" w:right="20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611" w:right="2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30" w:orient="portrait"/>
      <w:pgMar w:bottom="1133.8582677165355" w:top="2551.181102362205" w:left="1417.3228346456694" w:right="1133.8582677165355" w:header="283.46456692913387" w:footer="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3461384</wp:posOffset>
          </wp:positionH>
          <wp:positionV relativeFrom="page">
            <wp:posOffset>218439</wp:posOffset>
          </wp:positionV>
          <wp:extent cx="656564" cy="64325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564" cy="643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INSTITUTO FEDERAL DE EDUCAÇÃO, CIÊNCIA E TECNOLOGIA DO SERTÃO PARAIBANO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3348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right="1165"/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59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9GhjjRzg21r0epeDbj9bCQz5A==">CgMxLjA4AHIhMW5UNTZRYWd3UFlpalBEd0Rmc3JCY0xZaFFoNlI1cmRY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2026-04-14T00:00:00Z</vt:lpwstr>
  </property>
  <property fmtid="{D5CDD505-2E9C-101B-9397-08002B2CF9AE}" pid="4" name="Creator">
    <vt:lpwstr>Microsoft® Word 2013</vt:lpwstr>
  </property>
  <property fmtid="{D5CDD505-2E9C-101B-9397-08002B2CF9AE}" pid="5" name="LastSaved">
    <vt:lpwstr>2026-06-25T00:00:00Z</vt:lpwstr>
  </property>
  <property fmtid="{D5CDD505-2E9C-101B-9397-08002B2CF9AE}" pid="6" name="Producer">
    <vt:lpwstr>Microsoft® Word 2013</vt:lpwstr>
  </property>
  <property fmtid="{D5CDD505-2E9C-101B-9397-08002B2CF9AE}" pid="7" name="GrammarlyDocumentId">
    <vt:lpwstr>d36f1de0-6191-44c9-a794-3f1160b9cb67</vt:lpwstr>
  </property>
</Properties>
</file>