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CA" w:rsidRDefault="00BF26CA" w:rsidP="007367F0">
      <w:pPr>
        <w:spacing w:line="360" w:lineRule="auto"/>
        <w:rPr>
          <w:b/>
        </w:rPr>
      </w:pPr>
    </w:p>
    <w:p w:rsidR="00271F4F" w:rsidRPr="004E7449" w:rsidRDefault="0090322F" w:rsidP="007367F0">
      <w:pPr>
        <w:spacing w:line="360" w:lineRule="auto"/>
        <w:rPr>
          <w:b/>
        </w:rPr>
      </w:pPr>
      <w:r w:rsidRPr="007367F0">
        <w:rPr>
          <w:b/>
        </w:rPr>
        <w:t>PROCESSO N.º</w:t>
      </w:r>
      <w:r>
        <w:t xml:space="preserve"> </w:t>
      </w:r>
      <w:hyperlink r:id="rId12" w:history="1">
        <w:r w:rsidR="004E7449" w:rsidRPr="004E7449">
          <w:t>23326.000643.2021-19</w:t>
        </w:r>
      </w:hyperlink>
      <w:r w:rsidR="004E7449" w:rsidRPr="004E7449">
        <w:rPr>
          <w:b/>
        </w:rPr>
        <w:t> </w:t>
      </w:r>
    </w:p>
    <w:p w:rsidR="00C93D53" w:rsidRDefault="0090322F" w:rsidP="007367F0">
      <w:pPr>
        <w:spacing w:line="360" w:lineRule="auto"/>
      </w:pPr>
      <w:r w:rsidRPr="007367F0">
        <w:rPr>
          <w:b/>
        </w:rPr>
        <w:t>REFERÊNCIA:</w:t>
      </w:r>
      <w:r>
        <w:t xml:space="preserve"> Pregão Eletrônico nº </w:t>
      </w:r>
      <w:r w:rsidR="004E7449">
        <w:t>03</w:t>
      </w:r>
      <w:r>
        <w:t>/</w:t>
      </w:r>
      <w:r w:rsidR="004E7449">
        <w:t>2021</w:t>
      </w:r>
      <w:r>
        <w:t>/Campus João Pessoa/IFPB</w:t>
      </w: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Pr="0090322F" w:rsidRDefault="0090322F" w:rsidP="007367F0">
      <w:pPr>
        <w:spacing w:line="360" w:lineRule="auto"/>
        <w:jc w:val="center"/>
        <w:rPr>
          <w:b/>
        </w:rPr>
      </w:pPr>
      <w:r w:rsidRPr="0090322F">
        <w:rPr>
          <w:b/>
        </w:rPr>
        <w:t>RESPOSTA A PEDIDO DE ESCLARECIMENTO</w:t>
      </w:r>
    </w:p>
    <w:p w:rsidR="0090322F" w:rsidRDefault="0090322F" w:rsidP="004E7449">
      <w:pPr>
        <w:spacing w:line="360" w:lineRule="auto"/>
        <w:jc w:val="both"/>
      </w:pPr>
      <w:r>
        <w:t xml:space="preserve">Trata-se de resposta ao pedido de esclarecimento ao Edital de </w:t>
      </w:r>
      <w:r w:rsidR="00271F4F">
        <w:t xml:space="preserve">Licitação do Pregão Eletrônico </w:t>
      </w:r>
      <w:r>
        <w:t xml:space="preserve">nº </w:t>
      </w:r>
      <w:r w:rsidR="004E7449">
        <w:t>03/2021/Campus João Pessoa/IFPB</w:t>
      </w:r>
      <w:r>
        <w:t xml:space="preserve">, que tem por objeto </w:t>
      </w:r>
      <w:r w:rsidRPr="0090322F">
        <w:t xml:space="preserve">a escolha da </w:t>
      </w:r>
      <w:r w:rsidR="004E7449" w:rsidRPr="004E7449">
        <w:t xml:space="preserve">proposta mais vantajosa para a contratação de empresa especializada na prestação de serviços de locação de mão de obra terceirizada (apoio administrativo), conforme condições, quantidades e exigências estabelecidas </w:t>
      </w:r>
      <w:r w:rsidR="004E7449">
        <w:t>no e</w:t>
      </w:r>
      <w:r w:rsidR="004E7449" w:rsidRPr="004E7449">
        <w:t>dital e seus anexos</w:t>
      </w:r>
      <w:r w:rsidR="004E7449">
        <w:t>.</w:t>
      </w:r>
    </w:p>
    <w:p w:rsidR="0090322F" w:rsidRPr="0090322F" w:rsidRDefault="0090322F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7367F0">
      <w:pPr>
        <w:spacing w:after="0" w:line="360" w:lineRule="auto"/>
        <w:ind w:left="708"/>
        <w:jc w:val="both"/>
        <w:rPr>
          <w:b/>
        </w:rPr>
      </w:pP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Com efeito, observa-se a tempestividade do pedido de esclarecimento realizado, no dia </w:t>
      </w:r>
      <w:r w:rsidR="004E7449">
        <w:t>31</w:t>
      </w:r>
      <w:r w:rsidRPr="0090322F">
        <w:t>/</w:t>
      </w:r>
      <w:r w:rsidR="004E7449">
        <w:t>03/2021</w:t>
      </w:r>
      <w:r w:rsidRPr="0090322F">
        <w:t xml:space="preserve">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SOLICITAÇÃO</w:t>
      </w:r>
    </w:p>
    <w:p w:rsidR="00796B65" w:rsidRPr="00796B65" w:rsidRDefault="00796B65" w:rsidP="007367F0">
      <w:pPr>
        <w:spacing w:after="0" w:line="360" w:lineRule="auto"/>
        <w:ind w:firstLine="708"/>
        <w:jc w:val="both"/>
      </w:pPr>
      <w:r>
        <w:t>Em síntese, o peticionante solicita o saneamento de dúvidas conforme os questionamentos a seguir:</w:t>
      </w:r>
    </w:p>
    <w:p w:rsidR="00051964" w:rsidRPr="00051964" w:rsidRDefault="00051964" w:rsidP="00051964">
      <w:pPr>
        <w:pStyle w:val="PargrafodaLista"/>
        <w:numPr>
          <w:ilvl w:val="0"/>
          <w:numId w:val="10"/>
        </w:numPr>
        <w:shd w:val="clear" w:color="auto" w:fill="FFFFFF"/>
        <w:spacing w:after="0" w:line="360" w:lineRule="auto"/>
        <w:jc w:val="both"/>
      </w:pPr>
      <w:r w:rsidRPr="00051964">
        <w:t>De acordo com a CCT 47/2021 do SIND DOS TRAB NAS EMPRESAS PREST DE SERV GERAIS DA PB, em suas páginas 10 e 11, pré-estabelece as alíquotas que deverão ser aplicadas na confecção da planilha de custos.</w:t>
      </w:r>
      <w:r>
        <w:t xml:space="preserve"> </w:t>
      </w:r>
      <w:r w:rsidRPr="00051964">
        <w:t>O que deixa os valores estipulados no edital mencionado muito abaixo do que deveriam ser os praticados. </w:t>
      </w:r>
    </w:p>
    <w:p w:rsidR="00051964" w:rsidRPr="00051964" w:rsidRDefault="00051964" w:rsidP="00051964">
      <w:pPr>
        <w:shd w:val="clear" w:color="auto" w:fill="FFFFFF"/>
        <w:spacing w:after="0" w:line="360" w:lineRule="auto"/>
        <w:ind w:left="360" w:firstLine="708"/>
        <w:jc w:val="both"/>
      </w:pPr>
      <w:r w:rsidRPr="00051964">
        <w:t>Pergunto: Existe uma outra Planilha de custos, com outras alíquotas que podemos seguir?</w:t>
      </w:r>
    </w:p>
    <w:p w:rsidR="00051964" w:rsidRPr="00051964" w:rsidRDefault="00051964" w:rsidP="00051964">
      <w:pPr>
        <w:shd w:val="clear" w:color="auto" w:fill="FFFFFF"/>
        <w:spacing w:after="0" w:line="360" w:lineRule="auto"/>
        <w:jc w:val="both"/>
      </w:pPr>
    </w:p>
    <w:p w:rsidR="00051964" w:rsidRPr="00051964" w:rsidRDefault="00051964" w:rsidP="00051964">
      <w:pPr>
        <w:pStyle w:val="PargrafodaLista"/>
        <w:numPr>
          <w:ilvl w:val="0"/>
          <w:numId w:val="10"/>
        </w:numPr>
        <w:shd w:val="clear" w:color="auto" w:fill="FFFFFF"/>
        <w:spacing w:after="0" w:line="360" w:lineRule="auto"/>
        <w:jc w:val="both"/>
      </w:pPr>
      <w:r w:rsidRPr="00051964">
        <w:lastRenderedPageBreak/>
        <w:t>Outro esclarecimento: O Edital tomou como base a CCT 41/2020 e temos a CCT 47/2021 em vigor.</w:t>
      </w:r>
    </w:p>
    <w:p w:rsidR="004E7449" w:rsidRPr="004E7449" w:rsidRDefault="00051964" w:rsidP="00051964">
      <w:pPr>
        <w:pStyle w:val="PargrafodaLista"/>
        <w:shd w:val="clear" w:color="auto" w:fill="FFFFFF"/>
        <w:spacing w:after="0" w:line="360" w:lineRule="auto"/>
        <w:ind w:left="1068"/>
        <w:jc w:val="both"/>
      </w:pPr>
      <w:r w:rsidRPr="00051964">
        <w:t>Pergunto: Com quais valores devemos fazer nossas propostas?</w:t>
      </w:r>
      <w:r>
        <w:t xml:space="preserve"> </w:t>
      </w:r>
      <w:r w:rsidR="004E7449" w:rsidRPr="004E7449">
        <w:t>Devemos enviar proposta com o valor salarial da nova CCT 47/2021, ou com os valores da CCT 41/2020 expostos no edital?</w:t>
      </w:r>
    </w:p>
    <w:p w:rsidR="004E7449" w:rsidRDefault="004E7449" w:rsidP="004E7449">
      <w:pPr>
        <w:pStyle w:val="PargrafodaLista"/>
        <w:shd w:val="clear" w:color="auto" w:fill="FFFFFF"/>
        <w:spacing w:after="0" w:line="360" w:lineRule="auto"/>
        <w:ind w:left="1428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APRECIAÇÃO DO MÉRITO</w:t>
      </w:r>
    </w:p>
    <w:p w:rsidR="00796B65" w:rsidRDefault="004E7449" w:rsidP="007367F0">
      <w:pPr>
        <w:spacing w:after="0" w:line="360" w:lineRule="auto"/>
        <w:ind w:firstLine="708"/>
        <w:jc w:val="both"/>
      </w:pPr>
      <w:r>
        <w:t>Acerca da</w:t>
      </w:r>
      <w:r w:rsidR="00796B65">
        <w:t xml:space="preserve"> dúvida apresentada pelo peticionante, e alertando que os apontamentos aqui apresentados fazem referência aos estudos desenvolvidos no âmbito da unidade gerenciadora, esclarecemos que:</w:t>
      </w:r>
    </w:p>
    <w:p w:rsidR="00051964" w:rsidRDefault="00051964" w:rsidP="00051964">
      <w:pPr>
        <w:spacing w:after="0" w:line="360" w:lineRule="auto"/>
        <w:ind w:firstLine="708"/>
        <w:jc w:val="both"/>
      </w:pPr>
      <w:r w:rsidRPr="004E7449">
        <w:rPr>
          <w:b/>
        </w:rPr>
        <w:t>Resp</w:t>
      </w:r>
      <w:r>
        <w:rPr>
          <w:b/>
        </w:rPr>
        <w:t xml:space="preserve"> 1</w:t>
      </w:r>
      <w:r w:rsidRPr="004E7449">
        <w:rPr>
          <w:b/>
        </w:rPr>
        <w:t xml:space="preserve">: </w:t>
      </w:r>
      <w:r w:rsidRPr="00051964">
        <w:t>A Administração Pública não está vinculada ao cumprimento de cláusulas de convenções coletivas de trabalho, excetuadas as alusivas às obrigações trabalhistas</w:t>
      </w:r>
      <w:r>
        <w:t xml:space="preserve">, conforme </w:t>
      </w:r>
      <w:r w:rsidR="00B02D38">
        <w:t>se</w:t>
      </w:r>
      <w:r>
        <w:t xml:space="preserve"> pode verificar no art. 6º da </w:t>
      </w:r>
      <w:r w:rsidRPr="00051964">
        <w:t>Instrução Normativa n. 5/2017-MPOG</w:t>
      </w:r>
      <w:r>
        <w:t>, a seguir transcrito:</w:t>
      </w:r>
    </w:p>
    <w:p w:rsidR="00051964" w:rsidRPr="00051964" w:rsidRDefault="00051964" w:rsidP="00051964">
      <w:pPr>
        <w:spacing w:after="0" w:line="240" w:lineRule="auto"/>
        <w:ind w:left="2268"/>
        <w:jc w:val="both"/>
        <w:rPr>
          <w:sz w:val="18"/>
        </w:rPr>
      </w:pPr>
      <w:r w:rsidRPr="00051964">
        <w:rPr>
          <w:sz w:val="18"/>
        </w:rPr>
        <w:t>Art. 6º A Administração não se vincula às disposições contidas</w:t>
      </w:r>
      <w:r w:rsidR="00B02D38">
        <w:rPr>
          <w:sz w:val="18"/>
        </w:rPr>
        <w:t xml:space="preserve"> </w:t>
      </w:r>
      <w:r w:rsidRPr="00051964">
        <w:rPr>
          <w:sz w:val="18"/>
        </w:rPr>
        <w:t>em Acordos, Convenções ou Dissídios Coletivos de Trabalho</w:t>
      </w:r>
      <w:r w:rsidR="00B02D38">
        <w:rPr>
          <w:sz w:val="18"/>
        </w:rPr>
        <w:t xml:space="preserve"> </w:t>
      </w:r>
      <w:r w:rsidRPr="00051964">
        <w:rPr>
          <w:sz w:val="18"/>
        </w:rPr>
        <w:t>que tratem de pagamento de participação dos trabalhadores nos lucros</w:t>
      </w:r>
      <w:r w:rsidR="00B02D38">
        <w:rPr>
          <w:sz w:val="18"/>
        </w:rPr>
        <w:t xml:space="preserve"> </w:t>
      </w:r>
      <w:r w:rsidRPr="00051964">
        <w:rPr>
          <w:sz w:val="18"/>
        </w:rPr>
        <w:t>ou resultados da empresa contratada, de matéria não trabalhista, ou</w:t>
      </w:r>
      <w:r w:rsidR="00B02D38">
        <w:rPr>
          <w:sz w:val="18"/>
        </w:rPr>
        <w:t xml:space="preserve"> </w:t>
      </w:r>
      <w:r w:rsidRPr="00051964">
        <w:rPr>
          <w:sz w:val="18"/>
        </w:rPr>
        <w:t>que estabeleçam direitos não previstos em lei, tais como valores ou</w:t>
      </w:r>
      <w:r w:rsidR="00B02D38">
        <w:rPr>
          <w:sz w:val="18"/>
        </w:rPr>
        <w:t xml:space="preserve"> </w:t>
      </w:r>
      <w:r w:rsidRPr="00051964">
        <w:rPr>
          <w:sz w:val="18"/>
        </w:rPr>
        <w:t>índices obrigatórios de encargos sociais ou previdenciários, bem como</w:t>
      </w:r>
      <w:r w:rsidR="00B02D38">
        <w:rPr>
          <w:sz w:val="18"/>
        </w:rPr>
        <w:t xml:space="preserve"> </w:t>
      </w:r>
      <w:r w:rsidRPr="00051964">
        <w:rPr>
          <w:sz w:val="18"/>
        </w:rPr>
        <w:t>de preços para os insumos relacionados ao exercício da atividade.</w:t>
      </w:r>
    </w:p>
    <w:p w:rsidR="00051964" w:rsidRDefault="00051964" w:rsidP="007367F0">
      <w:pPr>
        <w:spacing w:after="0" w:line="360" w:lineRule="auto"/>
        <w:ind w:firstLine="708"/>
        <w:jc w:val="both"/>
        <w:rPr>
          <w:b/>
        </w:rPr>
      </w:pPr>
    </w:p>
    <w:p w:rsidR="00F10C52" w:rsidRDefault="00796B65" w:rsidP="007367F0">
      <w:pPr>
        <w:spacing w:after="0" w:line="360" w:lineRule="auto"/>
        <w:ind w:firstLine="708"/>
        <w:jc w:val="both"/>
      </w:pPr>
      <w:r w:rsidRPr="004E7449">
        <w:rPr>
          <w:b/>
        </w:rPr>
        <w:t>Resp</w:t>
      </w:r>
      <w:r w:rsidR="00051964">
        <w:rPr>
          <w:b/>
        </w:rPr>
        <w:t xml:space="preserve"> 2</w:t>
      </w:r>
      <w:r w:rsidRPr="004E7449">
        <w:rPr>
          <w:b/>
        </w:rPr>
        <w:t xml:space="preserve">: </w:t>
      </w:r>
      <w:r w:rsidR="004E7449">
        <w:t>As propostas devem ser elaboradas tomando como base a CCTPB 41/2020, utilizada para a formação do certame, haja vista o ínicio do trâmite processual, bem como a produção dos elementos necessários, terem se dado antes da divulgação da CCTPB 47/2021.</w:t>
      </w:r>
    </w:p>
    <w:p w:rsidR="004E7449" w:rsidRDefault="004E7449" w:rsidP="007367F0">
      <w:pPr>
        <w:spacing w:after="0" w:line="360" w:lineRule="auto"/>
        <w:ind w:firstLine="708"/>
        <w:jc w:val="both"/>
      </w:pPr>
      <w:r>
        <w:t>Desta forma, aproveitamos para esclarecer que a empresa sagrada vencedora deverá, após assinatura do contrato de prestação de serviços, solicitar a repactuação com vistas a aplicação CCTPB 47/2021, no que couber.</w:t>
      </w:r>
    </w:p>
    <w:p w:rsidR="00C8010D" w:rsidRDefault="004E7449" w:rsidP="00BF26CA">
      <w:pPr>
        <w:spacing w:after="0" w:line="360" w:lineRule="auto"/>
        <w:ind w:firstLine="708"/>
        <w:jc w:val="both"/>
      </w:pPr>
      <w:r w:rsidRPr="00BF26CA">
        <w:t xml:space="preserve">Ainda, estamos disponibilizando no link: </w:t>
      </w:r>
      <w:hyperlink r:id="rId13" w:history="1">
        <w:r w:rsidR="00BF26CA" w:rsidRPr="00BF26CA">
          <w:t>https://www.ifpb.edu.br/joaopessoa/administracao/licitacoes/ano/2021/pregao-03-2021/planilha-custos-dos-profissionais-fato-gerador-pregao-03_2021.xlsx/view</w:t>
        </w:r>
      </w:hyperlink>
      <w:r w:rsidR="00BF26CA" w:rsidRPr="00BF26CA">
        <w:t xml:space="preserve"> </w:t>
      </w:r>
      <w:r w:rsidRPr="00BF26CA">
        <w:t>a</w:t>
      </w:r>
      <w:r w:rsidR="00272D33">
        <w:t xml:space="preserve"> planilha </w:t>
      </w:r>
      <w:r>
        <w:t xml:space="preserve">de custos e formação de preços que originou o valor máximo aceitável do objeto do referido certame. </w:t>
      </w:r>
    </w:p>
    <w:p w:rsidR="00C8010D" w:rsidRDefault="00C8010D" w:rsidP="007367F0">
      <w:pPr>
        <w:spacing w:after="0" w:line="360" w:lineRule="auto"/>
        <w:ind w:firstLine="708"/>
        <w:jc w:val="both"/>
      </w:pPr>
    </w:p>
    <w:p w:rsidR="00C52B19" w:rsidRDefault="006C4419" w:rsidP="007367F0">
      <w:pPr>
        <w:spacing w:after="0" w:line="360" w:lineRule="auto"/>
        <w:ind w:firstLine="708"/>
        <w:jc w:val="both"/>
      </w:pPr>
      <w:r w:rsidRPr="006C4419">
        <w:t xml:space="preserve">Isto posto, dê ciência ao peticionante do conteúdo deste expediente, com a publicação do mesmo no site do http://www.comprasgovernamentais.gov.br/, dando continuidade dos trâmites relativos ao procedimento licitatório. </w:t>
      </w:r>
    </w:p>
    <w:p w:rsidR="00B02D38" w:rsidRDefault="00B02D38" w:rsidP="007367F0">
      <w:pPr>
        <w:spacing w:after="0" w:line="360" w:lineRule="auto"/>
        <w:ind w:firstLine="708"/>
        <w:jc w:val="right"/>
      </w:pPr>
    </w:p>
    <w:p w:rsidR="00B02D38" w:rsidRDefault="00B02D38" w:rsidP="007367F0">
      <w:pPr>
        <w:spacing w:after="0" w:line="360" w:lineRule="auto"/>
        <w:ind w:firstLine="708"/>
        <w:jc w:val="right"/>
      </w:pPr>
    </w:p>
    <w:p w:rsidR="007367F0" w:rsidRDefault="007367F0" w:rsidP="007367F0">
      <w:pPr>
        <w:spacing w:after="0" w:line="360" w:lineRule="auto"/>
        <w:ind w:firstLine="708"/>
        <w:jc w:val="right"/>
      </w:pPr>
      <w:r>
        <w:t xml:space="preserve">João Pessoa, </w:t>
      </w:r>
      <w:r w:rsidR="00BF26CA">
        <w:t>06</w:t>
      </w:r>
      <w:r>
        <w:t xml:space="preserve"> de </w:t>
      </w:r>
      <w:r w:rsidR="00BF26CA">
        <w:t>abril de 2021</w:t>
      </w:r>
      <w:r>
        <w:t>.</w:t>
      </w:r>
    </w:p>
    <w:p w:rsidR="007367F0" w:rsidRDefault="007367F0" w:rsidP="007367F0">
      <w:pPr>
        <w:spacing w:after="0" w:line="360" w:lineRule="auto"/>
        <w:ind w:firstLine="708"/>
        <w:jc w:val="center"/>
      </w:pPr>
      <w:r>
        <w:t>Karolina Yonara Lucena de Castro</w:t>
      </w:r>
    </w:p>
    <w:p w:rsidR="007367F0" w:rsidRPr="00796B65" w:rsidRDefault="007367F0" w:rsidP="007367F0">
      <w:pPr>
        <w:spacing w:after="0" w:line="360" w:lineRule="auto"/>
        <w:ind w:firstLine="708"/>
        <w:jc w:val="center"/>
      </w:pPr>
      <w:r>
        <w:t>Pregoeira</w:t>
      </w:r>
    </w:p>
    <w:sectPr w:rsidR="007367F0" w:rsidRPr="00796B65" w:rsidSect="00C52B19">
      <w:headerReference w:type="default" r:id="rId14"/>
      <w:footerReference w:type="default" r:id="rId15"/>
      <w:pgSz w:w="11906" w:h="16838"/>
      <w:pgMar w:top="1418" w:right="1134" w:bottom="1418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DB9" w:rsidRDefault="00111DB9" w:rsidP="00C93D53">
      <w:pPr>
        <w:spacing w:after="0" w:line="240" w:lineRule="auto"/>
      </w:pPr>
      <w:r>
        <w:separator/>
      </w:r>
    </w:p>
  </w:endnote>
  <w:endnote w:type="continuationSeparator" w:id="1">
    <w:p w:rsidR="00111DB9" w:rsidRDefault="00111DB9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bookmarkStart w:id="2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BF26CA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</w:t>
    </w:r>
    <w:r w:rsidR="00F153D4">
      <w:rPr>
        <w:rFonts w:cs="Arial"/>
        <w:b/>
        <w:bCs/>
        <w:sz w:val="12"/>
        <w:szCs w:val="12"/>
      </w:rPr>
      <w:t xml:space="preserve"> Nº </w:t>
    </w:r>
    <w:r>
      <w:rPr>
        <w:rFonts w:cs="Arial"/>
        <w:b/>
        <w:bCs/>
        <w:sz w:val="12"/>
        <w:szCs w:val="12"/>
      </w:rPr>
      <w:t>03</w:t>
    </w:r>
    <w:r w:rsidR="00F153D4">
      <w:rPr>
        <w:rFonts w:cs="Arial"/>
        <w:b/>
        <w:bCs/>
        <w:sz w:val="12"/>
        <w:szCs w:val="12"/>
      </w:rPr>
      <w:t>/20</w:t>
    </w:r>
    <w:bookmarkEnd w:id="2"/>
    <w:r>
      <w:rPr>
        <w:rFonts w:cs="Arial"/>
        <w:b/>
        <w:bCs/>
        <w:sz w:val="12"/>
        <w:szCs w:val="12"/>
      </w:rPr>
      <w:t>21</w:t>
    </w:r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DB9" w:rsidRDefault="00111DB9" w:rsidP="00C93D53">
      <w:pPr>
        <w:spacing w:after="0" w:line="240" w:lineRule="auto"/>
      </w:pPr>
      <w:r>
        <w:separator/>
      </w:r>
    </w:p>
  </w:footnote>
  <w:footnote w:type="continuationSeparator" w:id="1">
    <w:p w:rsidR="00111DB9" w:rsidRDefault="00111DB9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0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6687301"/>
    <w:r>
      <w:rPr>
        <w:b/>
        <w:noProof/>
        <w:color w:val="auto"/>
        <w:szCs w:val="20"/>
      </w:rPr>
      <w:drawing>
        <wp:inline distT="0" distB="0" distL="0" distR="0">
          <wp:extent cx="601883" cy="601883"/>
          <wp:effectExtent l="19050" t="0" r="7717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731" cy="60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MINISTÉRIO DA EDUCAÇÃO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INSTITUTO FEDERAL DA PARAÍBA - CAMPUS JOÃO PESSOA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DEPARTAMENTO DE LOGÍSTICA</w:t>
    </w:r>
  </w:p>
  <w:p w:rsidR="00C93D53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COORDENAÇÃO DE COMPRAS E LICITAÇÕES</w:t>
    </w:r>
    <w:bookmarkEnd w:id="0"/>
    <w:bookmarkEnd w:id="1"/>
  </w:p>
  <w:p w:rsidR="007F26D5" w:rsidRPr="007F26D5" w:rsidRDefault="007F26D5" w:rsidP="007F26D5">
    <w:pPr>
      <w:pStyle w:val="Default"/>
      <w:spacing w:after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36130C"/>
    <w:multiLevelType w:val="multilevel"/>
    <w:tmpl w:val="D408A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/>
        <w:i w:val="0"/>
        <w:color w:val="auto"/>
        <w:sz w:val="24"/>
        <w:lang w:val="pt-BR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9DC5FC1"/>
    <w:multiLevelType w:val="hybridMultilevel"/>
    <w:tmpl w:val="EE607868"/>
    <w:lvl w:ilvl="0" w:tplc="5516B0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3D49A5"/>
    <w:multiLevelType w:val="multilevel"/>
    <w:tmpl w:val="EB60496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2"/>
    <w:lvlOverride w:ilvl="0">
      <w:startOverride w:val="7"/>
    </w:lvlOverride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stylePaneFormatFilter w:val="3F0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1964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1DB9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60BBD"/>
    <w:rsid w:val="00160DA4"/>
    <w:rsid w:val="00165827"/>
    <w:rsid w:val="0016584A"/>
    <w:rsid w:val="00170CE1"/>
    <w:rsid w:val="00174CAA"/>
    <w:rsid w:val="001772FE"/>
    <w:rsid w:val="00177CD5"/>
    <w:rsid w:val="00180250"/>
    <w:rsid w:val="001817D2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60802"/>
    <w:rsid w:val="0026386A"/>
    <w:rsid w:val="00267125"/>
    <w:rsid w:val="00267B22"/>
    <w:rsid w:val="00267DDF"/>
    <w:rsid w:val="00271CB6"/>
    <w:rsid w:val="00271F4F"/>
    <w:rsid w:val="00272D33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E14"/>
    <w:rsid w:val="003959F6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B05B0"/>
    <w:rsid w:val="004B0CAC"/>
    <w:rsid w:val="004B19B5"/>
    <w:rsid w:val="004B1D7D"/>
    <w:rsid w:val="004B460A"/>
    <w:rsid w:val="004C0212"/>
    <w:rsid w:val="004C05F9"/>
    <w:rsid w:val="004D087F"/>
    <w:rsid w:val="004D551E"/>
    <w:rsid w:val="004E0194"/>
    <w:rsid w:val="004E37D5"/>
    <w:rsid w:val="004E6184"/>
    <w:rsid w:val="004E7449"/>
    <w:rsid w:val="004F1471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600604"/>
    <w:rsid w:val="00601C20"/>
    <w:rsid w:val="00601FCB"/>
    <w:rsid w:val="00605C11"/>
    <w:rsid w:val="00606440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721C"/>
    <w:rsid w:val="006F3EE2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6D5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23E2"/>
    <w:rsid w:val="008648AB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D0EE5"/>
    <w:rsid w:val="008D2CAF"/>
    <w:rsid w:val="008D3A48"/>
    <w:rsid w:val="008D3ACE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5665"/>
    <w:rsid w:val="00935B30"/>
    <w:rsid w:val="00936A4E"/>
    <w:rsid w:val="00941580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5FFD"/>
    <w:rsid w:val="009A1099"/>
    <w:rsid w:val="009A45B0"/>
    <w:rsid w:val="009A6A6F"/>
    <w:rsid w:val="009B1B69"/>
    <w:rsid w:val="009B5BC4"/>
    <w:rsid w:val="009C470D"/>
    <w:rsid w:val="009C638B"/>
    <w:rsid w:val="009D3626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B099E"/>
    <w:rsid w:val="00AB1F1A"/>
    <w:rsid w:val="00AB3534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2D38"/>
    <w:rsid w:val="00B03CB0"/>
    <w:rsid w:val="00B03FA9"/>
    <w:rsid w:val="00B041A9"/>
    <w:rsid w:val="00B0465E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BF26CA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791"/>
    <w:rsid w:val="00C757A1"/>
    <w:rsid w:val="00C76304"/>
    <w:rsid w:val="00C8010D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41FF"/>
    <w:rsid w:val="00D25D36"/>
    <w:rsid w:val="00D26DCE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77D52"/>
    <w:rsid w:val="00D80021"/>
    <w:rsid w:val="00D8724C"/>
    <w:rsid w:val="00D87FB5"/>
    <w:rsid w:val="00D92DC7"/>
    <w:rsid w:val="00D938C1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99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/>
    <w:lsdException w:name="foot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nhideWhenUsed="0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fpb.edu.br/joaopessoa/administracao/licitacoes/ano/2021/pregao-03-2021/planilha-custos-dos-profissionais-fato-gerador-pregao-03_2021.xlsx/view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ap.ifpb.edu.br/processo_eletronico/processo/5073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89699-A219-4913-BB0A-55D3ABCB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0</TotalTime>
  <Pages>2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2</cp:revision>
  <cp:lastPrinted>2020-05-22T12:25:00Z</cp:lastPrinted>
  <dcterms:created xsi:type="dcterms:W3CDTF">2021-04-06T12:18:00Z</dcterms:created>
  <dcterms:modified xsi:type="dcterms:W3CDTF">2021-04-06T12:18:00Z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