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717"/>
        <w:gridCol w:w="1938"/>
        <w:gridCol w:w="2278"/>
        <w:gridCol w:w="3127"/>
      </w:tblGrid>
      <w:tr w:rsidR="00EF71EB" w:rsidTr="00A900CB">
        <w:trPr>
          <w:trHeight w:val="313"/>
          <w:jc w:val="center"/>
        </w:trPr>
        <w:tc>
          <w:tcPr>
            <w:tcW w:w="10060" w:type="dxa"/>
            <w:gridSpan w:val="4"/>
            <w:shd w:val="clear" w:color="auto" w:fill="auto"/>
          </w:tcPr>
          <w:p w:rsidR="00EF71EB" w:rsidRDefault="00EF71EB" w:rsidP="00A900CB">
            <w:pPr>
              <w:rPr>
                <w:rFonts w:ascii="Times New Roman" w:hAnsi="Times New Roman" w:cs="Times New Roman"/>
                <w:sz w:val="24"/>
              </w:rPr>
            </w:pPr>
            <w:r>
              <w:rPr>
                <w:rFonts w:ascii="Times New Roman" w:hAnsi="Times New Roman" w:cs="Times New Roman"/>
                <w:b/>
                <w:sz w:val="24"/>
              </w:rPr>
              <w:t>ATENÇÃO!</w:t>
            </w:r>
          </w:p>
        </w:tc>
      </w:tr>
      <w:tr w:rsidR="00EF71EB" w:rsidTr="00A900CB">
        <w:trPr>
          <w:trHeight w:val="561"/>
          <w:jc w:val="center"/>
        </w:trPr>
        <w:tc>
          <w:tcPr>
            <w:tcW w:w="4655" w:type="dxa"/>
            <w:gridSpan w:val="2"/>
            <w:shd w:val="clear" w:color="auto" w:fill="D9D9D9"/>
            <w:vAlign w:val="center"/>
          </w:tcPr>
          <w:p w:rsidR="00EF71EB" w:rsidRDefault="00EF71EB" w:rsidP="00A900CB">
            <w:pPr>
              <w:spacing w:before="60" w:after="60"/>
              <w:jc w:val="center"/>
              <w:rPr>
                <w:rFonts w:ascii="Times New Roman" w:hAnsi="Times New Roman" w:cs="Times New Roman"/>
                <w:sz w:val="24"/>
              </w:rPr>
            </w:pPr>
            <w:r>
              <w:rPr>
                <w:rFonts w:ascii="Times New Roman" w:hAnsi="Times New Roman" w:cs="Times New Roman"/>
                <w:b/>
                <w:sz w:val="24"/>
              </w:rPr>
              <w:t>Pregão Eletrônico nº 03/2021</w:t>
            </w:r>
          </w:p>
        </w:tc>
        <w:tc>
          <w:tcPr>
            <w:tcW w:w="5405" w:type="dxa"/>
            <w:gridSpan w:val="2"/>
            <w:shd w:val="clear" w:color="auto" w:fill="D9D9D9"/>
            <w:vAlign w:val="center"/>
          </w:tcPr>
          <w:p w:rsidR="00EF71EB" w:rsidRDefault="00EF71EB" w:rsidP="00A900CB">
            <w:pPr>
              <w:jc w:val="center"/>
              <w:rPr>
                <w:rFonts w:ascii="Times New Roman" w:hAnsi="Times New Roman" w:cs="Times New Roman"/>
                <w:sz w:val="24"/>
              </w:rPr>
            </w:pPr>
            <w:r>
              <w:rPr>
                <w:rFonts w:ascii="Times New Roman" w:hAnsi="Times New Roman" w:cs="Times New Roman"/>
                <w:b/>
                <w:sz w:val="24"/>
              </w:rPr>
              <w:t>Data de abertura: 19/04/2021</w:t>
            </w:r>
          </w:p>
          <w:p w:rsidR="00EF71EB" w:rsidRDefault="00EF71EB" w:rsidP="00A900CB">
            <w:pPr>
              <w:jc w:val="center"/>
              <w:rPr>
                <w:rFonts w:ascii="Times New Roman" w:hAnsi="Times New Roman" w:cs="Times New Roman"/>
                <w:sz w:val="24"/>
              </w:rPr>
            </w:pPr>
            <w:r>
              <w:rPr>
                <w:rFonts w:ascii="Times New Roman" w:hAnsi="Times New Roman" w:cs="Times New Roman"/>
                <w:sz w:val="24"/>
              </w:rPr>
              <w:t xml:space="preserve">no sítio </w:t>
            </w:r>
            <w:hyperlink r:id="rId11">
              <w:r>
                <w:rPr>
                  <w:rFonts w:ascii="Times New Roman" w:hAnsi="Times New Roman" w:cs="Times New Roman"/>
                  <w:sz w:val="24"/>
                  <w:u w:val="single"/>
                </w:rPr>
                <w:t>www.comprasnet.gov.br</w:t>
              </w:r>
            </w:hyperlink>
          </w:p>
        </w:tc>
      </w:tr>
      <w:tr w:rsidR="00EF71EB" w:rsidTr="00A900CB">
        <w:trPr>
          <w:trHeight w:val="515"/>
          <w:jc w:val="center"/>
        </w:trPr>
        <w:tc>
          <w:tcPr>
            <w:tcW w:w="2717" w:type="dxa"/>
            <w:shd w:val="clear" w:color="auto" w:fill="auto"/>
          </w:tcPr>
          <w:p w:rsidR="00EF71EB" w:rsidRDefault="00EF71EB" w:rsidP="00A900CB">
            <w:pPr>
              <w:rPr>
                <w:rFonts w:ascii="Times New Roman" w:hAnsi="Times New Roman" w:cs="Times New Roman"/>
                <w:b/>
                <w:sz w:val="24"/>
              </w:rPr>
            </w:pPr>
            <w:r>
              <w:rPr>
                <w:rFonts w:ascii="Times New Roman" w:hAnsi="Times New Roman" w:cs="Times New Roman"/>
                <w:b/>
                <w:sz w:val="24"/>
              </w:rPr>
              <w:t>Processo</w:t>
            </w:r>
          </w:p>
          <w:p w:rsidR="00EF71EB" w:rsidRDefault="00EF71EB" w:rsidP="00A900CB">
            <w:pPr>
              <w:rPr>
                <w:rFonts w:ascii="Times New Roman" w:hAnsi="Times New Roman" w:cs="Times New Roman"/>
                <w:color w:val="FF0000"/>
                <w:sz w:val="24"/>
              </w:rPr>
            </w:pPr>
            <w:r>
              <w:rPr>
                <w:rFonts w:ascii="Times New Roman" w:hAnsi="Times New Roman" w:cs="Times New Roman"/>
                <w:sz w:val="24"/>
              </w:rPr>
              <w:t>23326.000643.2021-19</w:t>
            </w:r>
          </w:p>
        </w:tc>
        <w:tc>
          <w:tcPr>
            <w:tcW w:w="1938" w:type="dxa"/>
            <w:shd w:val="clear" w:color="auto" w:fill="auto"/>
          </w:tcPr>
          <w:p w:rsidR="00EF71EB" w:rsidRDefault="00EF71EB" w:rsidP="00A900CB">
            <w:pPr>
              <w:rPr>
                <w:rFonts w:ascii="Times New Roman" w:hAnsi="Times New Roman" w:cs="Times New Roman"/>
                <w:b/>
                <w:sz w:val="24"/>
              </w:rPr>
            </w:pPr>
            <w:r>
              <w:rPr>
                <w:rFonts w:ascii="Times New Roman" w:hAnsi="Times New Roman" w:cs="Times New Roman"/>
                <w:b/>
                <w:sz w:val="24"/>
              </w:rPr>
              <w:t xml:space="preserve">SRP? </w:t>
            </w:r>
          </w:p>
          <w:p w:rsidR="00EF71EB" w:rsidRDefault="00EF71EB" w:rsidP="00A900CB">
            <w:pPr>
              <w:rPr>
                <w:rFonts w:ascii="Times New Roman" w:hAnsi="Times New Roman" w:cs="Times New Roman"/>
                <w:sz w:val="24"/>
              </w:rPr>
            </w:pPr>
            <w:r>
              <w:rPr>
                <w:rFonts w:ascii="Times New Roman" w:hAnsi="Times New Roman" w:cs="Times New Roman"/>
                <w:sz w:val="24"/>
              </w:rPr>
              <w:t xml:space="preserve">☐Sim  </w:t>
            </w:r>
          </w:p>
          <w:p w:rsidR="00EF71EB" w:rsidRDefault="00EF71EB" w:rsidP="00A900CB">
            <w:pPr>
              <w:rPr>
                <w:rFonts w:ascii="Times New Roman" w:hAnsi="Times New Roman" w:cs="Times New Roman"/>
                <w:sz w:val="24"/>
              </w:rPr>
            </w:pPr>
            <w:r>
              <w:rPr>
                <w:rFonts w:ascii="Times New Roman" w:hAnsi="Times New Roman" w:cs="Times New Roman"/>
                <w:sz w:val="24"/>
              </w:rPr>
              <w:t>☒Não</w:t>
            </w:r>
          </w:p>
        </w:tc>
        <w:tc>
          <w:tcPr>
            <w:tcW w:w="2278" w:type="dxa"/>
            <w:shd w:val="clear" w:color="auto" w:fill="auto"/>
          </w:tcPr>
          <w:p w:rsidR="00EF71EB" w:rsidRDefault="00EF71EB" w:rsidP="00A900CB">
            <w:pPr>
              <w:rPr>
                <w:rFonts w:ascii="Times New Roman" w:hAnsi="Times New Roman" w:cs="Times New Roman"/>
                <w:b/>
                <w:sz w:val="24"/>
              </w:rPr>
            </w:pPr>
            <w:r>
              <w:rPr>
                <w:rFonts w:ascii="Times New Roman" w:hAnsi="Times New Roman" w:cs="Times New Roman"/>
                <w:b/>
                <w:sz w:val="24"/>
              </w:rPr>
              <w:t xml:space="preserve">Exclusiva ME/EPP? </w:t>
            </w:r>
          </w:p>
          <w:p w:rsidR="00EF71EB" w:rsidRDefault="00EF71EB" w:rsidP="00A900CB">
            <w:pPr>
              <w:rPr>
                <w:rFonts w:ascii="Times New Roman" w:hAnsi="Times New Roman" w:cs="Times New Roman"/>
                <w:sz w:val="24"/>
              </w:rPr>
            </w:pPr>
            <w:r>
              <w:rPr>
                <w:rFonts w:ascii="Times New Roman" w:hAnsi="Times New Roman" w:cs="Times New Roman"/>
                <w:sz w:val="24"/>
              </w:rPr>
              <w:t xml:space="preserve">☐ Sim  </w:t>
            </w:r>
          </w:p>
          <w:p w:rsidR="00EF71EB" w:rsidRDefault="006549B1" w:rsidP="00A900CB">
            <w:pPr>
              <w:rPr>
                <w:rFonts w:ascii="Times New Roman" w:hAnsi="Times New Roman" w:cs="Times New Roman"/>
                <w:sz w:val="24"/>
              </w:rPr>
            </w:pPr>
            <w:sdt>
              <w:sdtPr>
                <w:tag w:val="goog_rdk_0"/>
                <w:id w:val="352235469"/>
              </w:sdtPr>
              <w:sdtContent>
                <w:r w:rsidR="00EF71EB">
                  <w:rPr>
                    <w:rFonts w:ascii="Arial Unicode MS" w:eastAsia="Arial Unicode MS" w:hAnsi="Arial Unicode MS" w:cs="Arial Unicode MS"/>
                    <w:sz w:val="24"/>
                  </w:rPr>
                  <w:t>☒</w:t>
                </w:r>
              </w:sdtContent>
            </w:sdt>
            <w:r w:rsidR="00EF71EB">
              <w:rPr>
                <w:rFonts w:ascii="Times New Roman" w:hAnsi="Times New Roman" w:cs="Times New Roman"/>
                <w:sz w:val="24"/>
              </w:rPr>
              <w:t xml:space="preserve"> Não</w:t>
            </w:r>
          </w:p>
        </w:tc>
        <w:tc>
          <w:tcPr>
            <w:tcW w:w="3127" w:type="dxa"/>
            <w:shd w:val="clear" w:color="auto" w:fill="auto"/>
          </w:tcPr>
          <w:p w:rsidR="00EF71EB" w:rsidRDefault="00EF71EB" w:rsidP="00A900CB">
            <w:pPr>
              <w:rPr>
                <w:rFonts w:ascii="Times New Roman" w:hAnsi="Times New Roman" w:cs="Times New Roman"/>
                <w:b/>
                <w:sz w:val="24"/>
              </w:rPr>
            </w:pPr>
            <w:r>
              <w:rPr>
                <w:rFonts w:ascii="Times New Roman" w:hAnsi="Times New Roman" w:cs="Times New Roman"/>
                <w:b/>
                <w:sz w:val="24"/>
              </w:rPr>
              <w:t xml:space="preserve">Itens exclusivos para ME/EPP? </w:t>
            </w:r>
          </w:p>
          <w:p w:rsidR="00EF71EB" w:rsidRDefault="00EF71EB" w:rsidP="00A900CB">
            <w:pPr>
              <w:rPr>
                <w:rFonts w:ascii="Times New Roman" w:hAnsi="Times New Roman" w:cs="Times New Roman"/>
                <w:sz w:val="24"/>
              </w:rPr>
            </w:pPr>
            <w:r>
              <w:rPr>
                <w:rFonts w:ascii="Times New Roman" w:hAnsi="Times New Roman" w:cs="Times New Roman"/>
                <w:sz w:val="24"/>
              </w:rPr>
              <w:t xml:space="preserve">☐ Sim  </w:t>
            </w:r>
          </w:p>
          <w:p w:rsidR="00EF71EB" w:rsidRDefault="006549B1" w:rsidP="00A900CB">
            <w:pPr>
              <w:rPr>
                <w:rFonts w:ascii="Times New Roman" w:hAnsi="Times New Roman" w:cs="Times New Roman"/>
                <w:sz w:val="24"/>
              </w:rPr>
            </w:pPr>
            <w:sdt>
              <w:sdtPr>
                <w:tag w:val="goog_rdk_1"/>
                <w:id w:val="352235470"/>
              </w:sdtPr>
              <w:sdtContent>
                <w:r w:rsidR="00EF71EB">
                  <w:rPr>
                    <w:rFonts w:ascii="Arial Unicode MS" w:eastAsia="Arial Unicode MS" w:hAnsi="Arial Unicode MS" w:cs="Arial Unicode MS"/>
                    <w:sz w:val="24"/>
                  </w:rPr>
                  <w:t>☒</w:t>
                </w:r>
              </w:sdtContent>
            </w:sdt>
            <w:r w:rsidR="00EF71EB">
              <w:rPr>
                <w:rFonts w:ascii="Times New Roman" w:hAnsi="Times New Roman" w:cs="Times New Roman"/>
                <w:sz w:val="24"/>
              </w:rPr>
              <w:t xml:space="preserve"> Não</w:t>
            </w:r>
          </w:p>
        </w:tc>
      </w:tr>
      <w:tr w:rsidR="00EF71EB" w:rsidTr="00A900CB">
        <w:trPr>
          <w:jc w:val="center"/>
        </w:trPr>
        <w:tc>
          <w:tcPr>
            <w:tcW w:w="4655" w:type="dxa"/>
            <w:gridSpan w:val="2"/>
            <w:shd w:val="clear" w:color="auto" w:fill="auto"/>
          </w:tcPr>
          <w:p w:rsidR="00EF71EB" w:rsidRDefault="00EF71EB" w:rsidP="00A900CB">
            <w:pPr>
              <w:rPr>
                <w:rFonts w:ascii="Times New Roman" w:hAnsi="Times New Roman" w:cs="Times New Roman"/>
                <w:b/>
                <w:sz w:val="24"/>
              </w:rPr>
            </w:pPr>
            <w:r>
              <w:rPr>
                <w:rFonts w:ascii="Times New Roman" w:hAnsi="Times New Roman" w:cs="Times New Roman"/>
                <w:b/>
                <w:sz w:val="24"/>
              </w:rPr>
              <w:t>Objeto</w:t>
            </w:r>
          </w:p>
          <w:p w:rsidR="00EF71EB" w:rsidRDefault="00EF71EB" w:rsidP="00A900CB">
            <w:pPr>
              <w:jc w:val="both"/>
              <w:rPr>
                <w:rFonts w:ascii="Times New Roman" w:hAnsi="Times New Roman" w:cs="Times New Roman"/>
                <w:color w:val="FF0000"/>
                <w:sz w:val="24"/>
              </w:rPr>
            </w:pPr>
            <w:r>
              <w:rPr>
                <w:rFonts w:ascii="Times New Roman" w:hAnsi="Times New Roman" w:cs="Times New Roman"/>
                <w:sz w:val="24"/>
              </w:rPr>
              <w:t>O objeto da presente licitação é a escolha da proposta mais vantajosa para a contratação de empresa especializada na prestação de serviços de locação de mão de obra (apoio administrativo) para atender às necessidades do Campus João Pessoa do IFPB, conforme condições, quantidades e exigências estabelecidas neste Edital e seus anexos.</w:t>
            </w:r>
          </w:p>
        </w:tc>
        <w:tc>
          <w:tcPr>
            <w:tcW w:w="2278" w:type="dxa"/>
            <w:shd w:val="clear" w:color="auto" w:fill="auto"/>
            <w:vAlign w:val="center"/>
          </w:tcPr>
          <w:p w:rsidR="00EF71EB" w:rsidRDefault="00EF71EB" w:rsidP="00A900CB">
            <w:pPr>
              <w:jc w:val="both"/>
              <w:rPr>
                <w:rFonts w:ascii="Times New Roman" w:hAnsi="Times New Roman" w:cs="Times New Roman"/>
                <w:b/>
                <w:sz w:val="24"/>
              </w:rPr>
            </w:pPr>
            <w:r>
              <w:rPr>
                <w:rFonts w:ascii="Times New Roman" w:hAnsi="Times New Roman" w:cs="Times New Roman"/>
                <w:b/>
                <w:sz w:val="24"/>
              </w:rPr>
              <w:t xml:space="preserve">Decreto 7.174? </w:t>
            </w:r>
          </w:p>
          <w:p w:rsidR="00EF71EB" w:rsidRDefault="00EF71EB" w:rsidP="00A900CB">
            <w:pPr>
              <w:jc w:val="both"/>
              <w:rPr>
                <w:rFonts w:ascii="Times New Roman" w:hAnsi="Times New Roman" w:cs="Times New Roman"/>
                <w:sz w:val="24"/>
              </w:rPr>
            </w:pPr>
            <w:r>
              <w:rPr>
                <w:rFonts w:ascii="Times New Roman" w:hAnsi="Times New Roman" w:cs="Times New Roman"/>
                <w:sz w:val="24"/>
              </w:rPr>
              <w:t xml:space="preserve">☐ Sim  </w:t>
            </w:r>
          </w:p>
          <w:p w:rsidR="00EF71EB" w:rsidRDefault="00EF71EB" w:rsidP="00A900CB">
            <w:pPr>
              <w:jc w:val="both"/>
              <w:rPr>
                <w:rFonts w:ascii="Times New Roman" w:hAnsi="Times New Roman" w:cs="Times New Roman"/>
                <w:color w:val="FF0000"/>
                <w:sz w:val="24"/>
              </w:rPr>
            </w:pPr>
            <w:r>
              <w:rPr>
                <w:rFonts w:ascii="Times New Roman" w:hAnsi="Times New Roman" w:cs="Times New Roman"/>
                <w:sz w:val="24"/>
              </w:rPr>
              <w:t>☒ Não</w:t>
            </w:r>
          </w:p>
        </w:tc>
        <w:tc>
          <w:tcPr>
            <w:tcW w:w="3127" w:type="dxa"/>
            <w:shd w:val="clear" w:color="auto" w:fill="auto"/>
            <w:vAlign w:val="center"/>
          </w:tcPr>
          <w:p w:rsidR="00EF71EB" w:rsidRDefault="00EF71EB" w:rsidP="00A900CB">
            <w:pPr>
              <w:rPr>
                <w:rFonts w:ascii="Times New Roman" w:hAnsi="Times New Roman" w:cs="Times New Roman"/>
                <w:b/>
                <w:sz w:val="24"/>
              </w:rPr>
            </w:pPr>
            <w:r>
              <w:rPr>
                <w:rFonts w:ascii="Times New Roman" w:hAnsi="Times New Roman" w:cs="Times New Roman"/>
                <w:b/>
                <w:sz w:val="24"/>
              </w:rPr>
              <w:t>Margem de preferência?</w:t>
            </w:r>
          </w:p>
          <w:p w:rsidR="00EF71EB" w:rsidRDefault="006549B1" w:rsidP="00A900CB">
            <w:pPr>
              <w:rPr>
                <w:rFonts w:ascii="Times New Roman" w:hAnsi="Times New Roman" w:cs="Times New Roman"/>
                <w:sz w:val="24"/>
              </w:rPr>
            </w:pPr>
            <w:sdt>
              <w:sdtPr>
                <w:tag w:val="goog_rdk_2"/>
                <w:id w:val="352235471"/>
              </w:sdtPr>
              <w:sdtContent>
                <w:r w:rsidR="00EF71EB">
                  <w:rPr>
                    <w:rFonts w:ascii="Arial Unicode MS" w:eastAsia="Arial Unicode MS" w:hAnsi="Arial Unicode MS" w:cs="Arial Unicode MS"/>
                    <w:sz w:val="24"/>
                  </w:rPr>
                  <w:t>☐</w:t>
                </w:r>
              </w:sdtContent>
            </w:sdt>
            <w:r w:rsidR="00EF71EB">
              <w:rPr>
                <w:rFonts w:ascii="Times New Roman" w:hAnsi="Times New Roman" w:cs="Times New Roman"/>
                <w:sz w:val="24"/>
              </w:rPr>
              <w:t xml:space="preserve"> Sim  </w:t>
            </w:r>
          </w:p>
          <w:p w:rsidR="00EF71EB" w:rsidRDefault="006549B1" w:rsidP="00A900CB">
            <w:pPr>
              <w:rPr>
                <w:rFonts w:ascii="Times New Roman" w:hAnsi="Times New Roman" w:cs="Times New Roman"/>
                <w:b/>
                <w:color w:val="FF0000"/>
                <w:sz w:val="24"/>
              </w:rPr>
            </w:pPr>
            <w:sdt>
              <w:sdtPr>
                <w:tag w:val="goog_rdk_3"/>
                <w:id w:val="352235472"/>
              </w:sdtPr>
              <w:sdtContent>
                <w:r w:rsidR="00EF71EB">
                  <w:rPr>
                    <w:rFonts w:ascii="Arial Unicode MS" w:eastAsia="Arial Unicode MS" w:hAnsi="Arial Unicode MS" w:cs="Arial Unicode MS"/>
                    <w:sz w:val="24"/>
                  </w:rPr>
                  <w:t>☒</w:t>
                </w:r>
              </w:sdtContent>
            </w:sdt>
            <w:r w:rsidR="00EF71EB">
              <w:rPr>
                <w:rFonts w:ascii="Times New Roman" w:hAnsi="Times New Roman" w:cs="Times New Roman"/>
                <w:sz w:val="24"/>
              </w:rPr>
              <w:t xml:space="preserve"> Não</w:t>
            </w:r>
          </w:p>
        </w:tc>
      </w:tr>
      <w:tr w:rsidR="00EF71EB" w:rsidTr="00A900CB">
        <w:trPr>
          <w:trHeight w:val="462"/>
          <w:jc w:val="center"/>
        </w:trPr>
        <w:tc>
          <w:tcPr>
            <w:tcW w:w="4655" w:type="dxa"/>
            <w:gridSpan w:val="2"/>
            <w:shd w:val="clear" w:color="auto" w:fill="auto"/>
          </w:tcPr>
          <w:p w:rsidR="00EF71EB" w:rsidRDefault="00EF71EB" w:rsidP="00A900CB">
            <w:pPr>
              <w:rPr>
                <w:rFonts w:ascii="Times New Roman" w:hAnsi="Times New Roman" w:cs="Times New Roman"/>
                <w:b/>
                <w:color w:val="FF0000"/>
                <w:sz w:val="24"/>
              </w:rPr>
            </w:pPr>
            <w:r>
              <w:rPr>
                <w:rFonts w:ascii="Times New Roman" w:hAnsi="Times New Roman" w:cs="Times New Roman"/>
                <w:b/>
                <w:sz w:val="24"/>
              </w:rPr>
              <w:t>Valor total estimado: R$ 1.700.295,60</w:t>
            </w:r>
          </w:p>
        </w:tc>
        <w:tc>
          <w:tcPr>
            <w:tcW w:w="2278" w:type="dxa"/>
            <w:vMerge w:val="restart"/>
            <w:shd w:val="clear" w:color="auto" w:fill="auto"/>
            <w:vAlign w:val="center"/>
          </w:tcPr>
          <w:p w:rsidR="00EF71EB" w:rsidRDefault="00EF71EB" w:rsidP="00A900CB">
            <w:pPr>
              <w:rPr>
                <w:rFonts w:ascii="Times New Roman" w:hAnsi="Times New Roman" w:cs="Times New Roman"/>
                <w:b/>
                <w:sz w:val="24"/>
              </w:rPr>
            </w:pPr>
            <w:r>
              <w:rPr>
                <w:rFonts w:ascii="Times New Roman" w:hAnsi="Times New Roman" w:cs="Times New Roman"/>
                <w:b/>
                <w:sz w:val="24"/>
              </w:rPr>
              <w:t xml:space="preserve">Vistoria? </w:t>
            </w:r>
          </w:p>
          <w:p w:rsidR="00EF71EB" w:rsidRDefault="006549B1" w:rsidP="00A900CB">
            <w:pPr>
              <w:rPr>
                <w:rFonts w:ascii="Times New Roman" w:hAnsi="Times New Roman" w:cs="Times New Roman"/>
                <w:sz w:val="24"/>
              </w:rPr>
            </w:pPr>
            <w:sdt>
              <w:sdtPr>
                <w:tag w:val="goog_rdk_4"/>
                <w:id w:val="352235473"/>
              </w:sdtPr>
              <w:sdtContent>
                <w:r w:rsidR="00EF71EB">
                  <w:rPr>
                    <w:rFonts w:ascii="Arial Unicode MS" w:eastAsia="Arial Unicode MS" w:hAnsi="Arial Unicode MS" w:cs="Arial Unicode MS"/>
                    <w:sz w:val="24"/>
                  </w:rPr>
                  <w:t>☐</w:t>
                </w:r>
              </w:sdtContent>
            </w:sdt>
            <w:r w:rsidR="00EF71EB">
              <w:rPr>
                <w:rFonts w:ascii="Times New Roman" w:hAnsi="Times New Roman" w:cs="Times New Roman"/>
                <w:sz w:val="24"/>
              </w:rPr>
              <w:t xml:space="preserve"> Obrigatória </w:t>
            </w:r>
          </w:p>
          <w:p w:rsidR="00EF71EB" w:rsidRDefault="006549B1" w:rsidP="00A900CB">
            <w:pPr>
              <w:rPr>
                <w:rFonts w:ascii="Times New Roman" w:hAnsi="Times New Roman" w:cs="Times New Roman"/>
                <w:sz w:val="24"/>
              </w:rPr>
            </w:pPr>
            <w:sdt>
              <w:sdtPr>
                <w:tag w:val="goog_rdk_5"/>
                <w:id w:val="352235474"/>
              </w:sdtPr>
              <w:sdtContent>
                <w:r w:rsidR="00EF71EB">
                  <w:rPr>
                    <w:rFonts w:ascii="Arial Unicode MS" w:eastAsia="Arial Unicode MS" w:hAnsi="Arial Unicode MS" w:cs="Arial Unicode MS"/>
                    <w:sz w:val="24"/>
                  </w:rPr>
                  <w:t>☒</w:t>
                </w:r>
              </w:sdtContent>
            </w:sdt>
            <w:r w:rsidR="00EF71EB">
              <w:rPr>
                <w:rFonts w:ascii="Times New Roman" w:hAnsi="Times New Roman" w:cs="Times New Roman"/>
                <w:sz w:val="24"/>
              </w:rPr>
              <w:t xml:space="preserve"> Facultativa  </w:t>
            </w:r>
          </w:p>
          <w:p w:rsidR="00EF71EB" w:rsidRDefault="006549B1" w:rsidP="00A900CB">
            <w:pPr>
              <w:rPr>
                <w:rFonts w:ascii="Times New Roman" w:hAnsi="Times New Roman" w:cs="Times New Roman"/>
                <w:sz w:val="24"/>
              </w:rPr>
            </w:pPr>
            <w:sdt>
              <w:sdtPr>
                <w:tag w:val="goog_rdk_6"/>
                <w:id w:val="352235475"/>
              </w:sdtPr>
              <w:sdtContent>
                <w:r w:rsidR="00EF71EB">
                  <w:rPr>
                    <w:rFonts w:ascii="Arial Unicode MS" w:eastAsia="Arial Unicode MS" w:hAnsi="Arial Unicode MS" w:cs="Arial Unicode MS"/>
                    <w:sz w:val="24"/>
                  </w:rPr>
                  <w:t>☐</w:t>
                </w:r>
              </w:sdtContent>
            </w:sdt>
            <w:r w:rsidR="00EF71EB">
              <w:rPr>
                <w:rFonts w:ascii="Times New Roman" w:hAnsi="Times New Roman" w:cs="Times New Roman"/>
                <w:sz w:val="24"/>
              </w:rPr>
              <w:t xml:space="preserve"> Não se aplica</w:t>
            </w:r>
          </w:p>
          <w:p w:rsidR="00EF71EB" w:rsidRDefault="00EF71EB" w:rsidP="00A900CB">
            <w:pPr>
              <w:jc w:val="both"/>
              <w:rPr>
                <w:rFonts w:ascii="Times New Roman" w:hAnsi="Times New Roman" w:cs="Times New Roman"/>
                <w:color w:val="FF0000"/>
                <w:sz w:val="24"/>
              </w:rPr>
            </w:pPr>
          </w:p>
        </w:tc>
        <w:tc>
          <w:tcPr>
            <w:tcW w:w="3127" w:type="dxa"/>
            <w:vMerge w:val="restart"/>
            <w:shd w:val="clear" w:color="auto" w:fill="auto"/>
          </w:tcPr>
          <w:p w:rsidR="00EF71EB" w:rsidRDefault="00EF71EB" w:rsidP="00A900CB">
            <w:pPr>
              <w:rPr>
                <w:rFonts w:ascii="Times New Roman" w:hAnsi="Times New Roman" w:cs="Times New Roman"/>
                <w:b/>
                <w:sz w:val="24"/>
              </w:rPr>
            </w:pPr>
            <w:r>
              <w:rPr>
                <w:rFonts w:ascii="Times New Roman" w:hAnsi="Times New Roman" w:cs="Times New Roman"/>
                <w:b/>
                <w:sz w:val="24"/>
              </w:rPr>
              <w:t xml:space="preserve">Amostra/Demonstração? </w:t>
            </w:r>
          </w:p>
          <w:p w:rsidR="00EF71EB" w:rsidRDefault="006549B1" w:rsidP="00A900CB">
            <w:pPr>
              <w:rPr>
                <w:rFonts w:ascii="Times New Roman" w:hAnsi="Times New Roman" w:cs="Times New Roman"/>
                <w:sz w:val="24"/>
              </w:rPr>
            </w:pPr>
            <w:sdt>
              <w:sdtPr>
                <w:tag w:val="goog_rdk_7"/>
                <w:id w:val="352235476"/>
              </w:sdtPr>
              <w:sdtContent>
                <w:r w:rsidR="00EF71EB">
                  <w:rPr>
                    <w:rFonts w:ascii="Arial Unicode MS" w:eastAsia="Arial Unicode MS" w:hAnsi="Arial Unicode MS" w:cs="Arial Unicode MS"/>
                    <w:sz w:val="24"/>
                  </w:rPr>
                  <w:t>☐</w:t>
                </w:r>
              </w:sdtContent>
            </w:sdt>
            <w:r w:rsidR="00EF71EB">
              <w:rPr>
                <w:rFonts w:ascii="Times New Roman" w:hAnsi="Times New Roman" w:cs="Times New Roman"/>
                <w:sz w:val="24"/>
              </w:rPr>
              <w:t xml:space="preserve"> Sim  </w:t>
            </w:r>
          </w:p>
          <w:p w:rsidR="00EF71EB" w:rsidRDefault="00EF71EB" w:rsidP="00A900CB">
            <w:pPr>
              <w:rPr>
                <w:rFonts w:ascii="Times New Roman" w:hAnsi="Times New Roman" w:cs="Times New Roman"/>
                <w:sz w:val="24"/>
              </w:rPr>
            </w:pPr>
            <w:r>
              <w:rPr>
                <w:rFonts w:ascii="Times New Roman" w:hAnsi="Times New Roman" w:cs="Times New Roman"/>
                <w:sz w:val="24"/>
              </w:rPr>
              <w:t>☒ Não</w:t>
            </w:r>
          </w:p>
          <w:p w:rsidR="00EF71EB" w:rsidRDefault="00EF71EB" w:rsidP="00A900CB">
            <w:pPr>
              <w:rPr>
                <w:rFonts w:ascii="Times New Roman" w:hAnsi="Times New Roman" w:cs="Times New Roman"/>
                <w:i/>
                <w:color w:val="FF0000"/>
                <w:sz w:val="24"/>
              </w:rPr>
            </w:pPr>
          </w:p>
        </w:tc>
      </w:tr>
      <w:tr w:rsidR="00EF71EB" w:rsidTr="00A900CB">
        <w:trPr>
          <w:trHeight w:val="462"/>
          <w:jc w:val="center"/>
        </w:trPr>
        <w:tc>
          <w:tcPr>
            <w:tcW w:w="4655" w:type="dxa"/>
            <w:gridSpan w:val="2"/>
            <w:shd w:val="clear" w:color="auto" w:fill="auto"/>
          </w:tcPr>
          <w:p w:rsidR="00EF71EB" w:rsidRDefault="00EF71EB" w:rsidP="00A900CB">
            <w:pPr>
              <w:rPr>
                <w:rFonts w:ascii="Times New Roman" w:hAnsi="Times New Roman" w:cs="Times New Roman"/>
                <w:sz w:val="24"/>
              </w:rPr>
            </w:pPr>
            <w:r>
              <w:rPr>
                <w:rFonts w:ascii="Times New Roman" w:hAnsi="Times New Roman" w:cs="Times New Roman"/>
                <w:b/>
                <w:sz w:val="24"/>
              </w:rPr>
              <w:t>Prazo para envio da proposta/documentação:</w:t>
            </w:r>
          </w:p>
          <w:p w:rsidR="00EF71EB" w:rsidRDefault="00EF71EB" w:rsidP="00A900CB">
            <w:pPr>
              <w:rPr>
                <w:rFonts w:ascii="Times New Roman" w:hAnsi="Times New Roman" w:cs="Times New Roman"/>
                <w:color w:val="FF0000"/>
                <w:sz w:val="24"/>
              </w:rPr>
            </w:pPr>
            <w:r>
              <w:rPr>
                <w:rFonts w:ascii="Times New Roman" w:hAnsi="Times New Roman" w:cs="Times New Roman"/>
                <w:sz w:val="24"/>
              </w:rPr>
              <w:t>No mínimo, 02 (duas) horas, após solicitação do Pregoeiro no sistema eletrônico.</w:t>
            </w:r>
          </w:p>
        </w:tc>
        <w:tc>
          <w:tcPr>
            <w:tcW w:w="2278" w:type="dxa"/>
            <w:vMerge/>
            <w:shd w:val="clear" w:color="auto" w:fill="auto"/>
            <w:vAlign w:val="center"/>
          </w:tcPr>
          <w:p w:rsidR="00EF71EB" w:rsidRDefault="00EF71EB" w:rsidP="00A900CB">
            <w:pPr>
              <w:widowControl w:val="0"/>
              <w:pBdr>
                <w:top w:val="nil"/>
                <w:left w:val="nil"/>
                <w:bottom w:val="nil"/>
                <w:right w:val="nil"/>
                <w:between w:val="nil"/>
              </w:pBdr>
              <w:spacing w:line="276" w:lineRule="auto"/>
              <w:rPr>
                <w:rFonts w:ascii="Times New Roman" w:hAnsi="Times New Roman" w:cs="Times New Roman"/>
                <w:color w:val="FF0000"/>
                <w:sz w:val="24"/>
              </w:rPr>
            </w:pPr>
          </w:p>
        </w:tc>
        <w:tc>
          <w:tcPr>
            <w:tcW w:w="3127" w:type="dxa"/>
            <w:vMerge/>
            <w:shd w:val="clear" w:color="auto" w:fill="auto"/>
          </w:tcPr>
          <w:p w:rsidR="00EF71EB" w:rsidRDefault="00EF71EB" w:rsidP="00A900CB">
            <w:pPr>
              <w:widowControl w:val="0"/>
              <w:pBdr>
                <w:top w:val="nil"/>
                <w:left w:val="nil"/>
                <w:bottom w:val="nil"/>
                <w:right w:val="nil"/>
                <w:between w:val="nil"/>
              </w:pBdr>
              <w:spacing w:line="276" w:lineRule="auto"/>
              <w:rPr>
                <w:rFonts w:ascii="Times New Roman" w:hAnsi="Times New Roman" w:cs="Times New Roman"/>
                <w:color w:val="FF0000"/>
                <w:sz w:val="24"/>
              </w:rPr>
            </w:pPr>
          </w:p>
        </w:tc>
      </w:tr>
      <w:tr w:rsidR="00EF71EB" w:rsidTr="00A900CB">
        <w:trPr>
          <w:trHeight w:val="415"/>
          <w:jc w:val="center"/>
        </w:trPr>
        <w:tc>
          <w:tcPr>
            <w:tcW w:w="4655" w:type="dxa"/>
            <w:gridSpan w:val="2"/>
            <w:shd w:val="clear" w:color="auto" w:fill="auto"/>
          </w:tcPr>
          <w:p w:rsidR="00EF71EB" w:rsidRDefault="00EF71EB" w:rsidP="00A900CB">
            <w:pPr>
              <w:rPr>
                <w:rFonts w:ascii="Times New Roman" w:hAnsi="Times New Roman" w:cs="Times New Roman"/>
                <w:sz w:val="24"/>
              </w:rPr>
            </w:pPr>
            <w:r>
              <w:rPr>
                <w:rFonts w:ascii="Times New Roman" w:hAnsi="Times New Roman" w:cs="Times New Roman"/>
                <w:b/>
                <w:sz w:val="24"/>
              </w:rPr>
              <w:t>Pedidos de esclarecimentos</w:t>
            </w:r>
          </w:p>
          <w:p w:rsidR="00EF71EB" w:rsidRDefault="00EF71EB" w:rsidP="00A900CB">
            <w:pPr>
              <w:rPr>
                <w:rFonts w:ascii="Times New Roman" w:hAnsi="Times New Roman" w:cs="Times New Roman"/>
                <w:sz w:val="24"/>
              </w:rPr>
            </w:pPr>
            <w:r>
              <w:rPr>
                <w:rFonts w:ascii="Times New Roman" w:hAnsi="Times New Roman" w:cs="Times New Roman"/>
                <w:sz w:val="24"/>
              </w:rPr>
              <w:t xml:space="preserve">Até 14/04/2021 para o endereço </w:t>
            </w:r>
            <w:hyperlink r:id="rId12">
              <w:r>
                <w:rPr>
                  <w:rFonts w:ascii="Times New Roman" w:hAnsi="Times New Roman" w:cs="Times New Roman"/>
                  <w:color w:val="000000"/>
                  <w:sz w:val="24"/>
                  <w:u w:val="single"/>
                </w:rPr>
                <w:t>licitacao.jpa@ifpb.edu.br</w:t>
              </w:r>
            </w:hyperlink>
          </w:p>
        </w:tc>
        <w:tc>
          <w:tcPr>
            <w:tcW w:w="5405" w:type="dxa"/>
            <w:gridSpan w:val="2"/>
            <w:shd w:val="clear" w:color="auto" w:fill="auto"/>
            <w:vAlign w:val="center"/>
          </w:tcPr>
          <w:p w:rsidR="00EF71EB" w:rsidRDefault="00EF71EB" w:rsidP="00A900CB">
            <w:pPr>
              <w:rPr>
                <w:rFonts w:ascii="Times New Roman" w:hAnsi="Times New Roman" w:cs="Times New Roman"/>
                <w:sz w:val="24"/>
              </w:rPr>
            </w:pPr>
            <w:r>
              <w:rPr>
                <w:rFonts w:ascii="Times New Roman" w:hAnsi="Times New Roman" w:cs="Times New Roman"/>
                <w:b/>
                <w:sz w:val="24"/>
              </w:rPr>
              <w:t xml:space="preserve">Impugnações </w:t>
            </w:r>
          </w:p>
          <w:p w:rsidR="00EF71EB" w:rsidRDefault="00EF71EB" w:rsidP="00A900CB">
            <w:pPr>
              <w:rPr>
                <w:rFonts w:ascii="Times New Roman" w:hAnsi="Times New Roman" w:cs="Times New Roman"/>
                <w:sz w:val="24"/>
              </w:rPr>
            </w:pPr>
            <w:r>
              <w:rPr>
                <w:rFonts w:ascii="Times New Roman" w:hAnsi="Times New Roman" w:cs="Times New Roman"/>
                <w:sz w:val="24"/>
              </w:rPr>
              <w:t xml:space="preserve">Até  14/04/2021 para o endereço </w:t>
            </w:r>
            <w:hyperlink r:id="rId13">
              <w:r>
                <w:rPr>
                  <w:rFonts w:ascii="Times New Roman" w:hAnsi="Times New Roman" w:cs="Times New Roman"/>
                  <w:color w:val="000000"/>
                  <w:sz w:val="24"/>
                  <w:u w:val="single"/>
                </w:rPr>
                <w:t>licitacao.jpa@ifpb.edu.br</w:t>
              </w:r>
            </w:hyperlink>
          </w:p>
        </w:tc>
      </w:tr>
      <w:tr w:rsidR="00EF71EB" w:rsidTr="00A900CB">
        <w:trPr>
          <w:trHeight w:val="177"/>
          <w:jc w:val="center"/>
        </w:trPr>
        <w:tc>
          <w:tcPr>
            <w:tcW w:w="10060" w:type="dxa"/>
            <w:gridSpan w:val="4"/>
            <w:shd w:val="clear" w:color="auto" w:fill="D9D9D9"/>
          </w:tcPr>
          <w:p w:rsidR="00EF71EB" w:rsidRDefault="00EF71EB" w:rsidP="00A900CB">
            <w:pPr>
              <w:jc w:val="center"/>
              <w:rPr>
                <w:rFonts w:ascii="Times New Roman" w:hAnsi="Times New Roman" w:cs="Times New Roman"/>
                <w:i/>
                <w:color w:val="FF0000"/>
                <w:sz w:val="24"/>
              </w:rPr>
            </w:pPr>
            <w:r>
              <w:rPr>
                <w:rFonts w:ascii="Times New Roman" w:hAnsi="Times New Roman" w:cs="Times New Roman"/>
                <w:b/>
                <w:sz w:val="24"/>
              </w:rPr>
              <w:t>Documentação de habilitação (Item 9 do Edital)</w:t>
            </w:r>
          </w:p>
        </w:tc>
      </w:tr>
      <w:tr w:rsidR="00EF71EB" w:rsidTr="00A900CB">
        <w:trPr>
          <w:trHeight w:val="1292"/>
          <w:jc w:val="center"/>
        </w:trPr>
        <w:tc>
          <w:tcPr>
            <w:tcW w:w="4655" w:type="dxa"/>
            <w:gridSpan w:val="2"/>
            <w:shd w:val="clear" w:color="auto" w:fill="auto"/>
          </w:tcPr>
          <w:p w:rsidR="00EF71EB" w:rsidRDefault="00EF71EB" w:rsidP="00A900CB">
            <w:pPr>
              <w:rPr>
                <w:rFonts w:ascii="Times New Roman" w:hAnsi="Times New Roman" w:cs="Times New Roman"/>
                <w:sz w:val="24"/>
              </w:rPr>
            </w:pPr>
            <w:r>
              <w:rPr>
                <w:rFonts w:ascii="Times New Roman" w:hAnsi="Times New Roman" w:cs="Times New Roman"/>
                <w:b/>
                <w:sz w:val="24"/>
              </w:rPr>
              <w:t>Requisitos básicos</w:t>
            </w:r>
          </w:p>
          <w:p w:rsidR="00EF71EB" w:rsidRDefault="00EF71EB" w:rsidP="009D75B9">
            <w:pPr>
              <w:numPr>
                <w:ilvl w:val="0"/>
                <w:numId w:val="28"/>
              </w:numPr>
              <w:spacing w:line="256" w:lineRule="auto"/>
              <w:rPr>
                <w:rFonts w:ascii="Times New Roman" w:hAnsi="Times New Roman" w:cs="Times New Roman"/>
                <w:sz w:val="24"/>
              </w:rPr>
            </w:pPr>
            <w:r>
              <w:rPr>
                <w:rFonts w:ascii="Times New Roman" w:hAnsi="Times New Roman" w:cs="Times New Roman"/>
                <w:sz w:val="24"/>
              </w:rPr>
              <w:t>Sicaf ou documentos equivalentes;</w:t>
            </w:r>
          </w:p>
          <w:p w:rsidR="00EF71EB" w:rsidRDefault="00EF71EB" w:rsidP="009D75B9">
            <w:pPr>
              <w:numPr>
                <w:ilvl w:val="0"/>
                <w:numId w:val="28"/>
              </w:numPr>
              <w:spacing w:line="256" w:lineRule="auto"/>
              <w:rPr>
                <w:rFonts w:ascii="Times New Roman" w:hAnsi="Times New Roman" w:cs="Times New Roman"/>
                <w:sz w:val="24"/>
              </w:rPr>
            </w:pPr>
            <w:r>
              <w:rPr>
                <w:rFonts w:ascii="Times New Roman" w:hAnsi="Times New Roman" w:cs="Times New Roman"/>
                <w:sz w:val="24"/>
              </w:rPr>
              <w:t>Certidão CNJ;</w:t>
            </w:r>
          </w:p>
          <w:p w:rsidR="00EF71EB" w:rsidRDefault="00EF71EB" w:rsidP="009D75B9">
            <w:pPr>
              <w:numPr>
                <w:ilvl w:val="0"/>
                <w:numId w:val="28"/>
              </w:numPr>
              <w:spacing w:line="256" w:lineRule="auto"/>
              <w:rPr>
                <w:rFonts w:ascii="Times New Roman" w:hAnsi="Times New Roman" w:cs="Times New Roman"/>
                <w:sz w:val="24"/>
              </w:rPr>
            </w:pPr>
            <w:r>
              <w:rPr>
                <w:rFonts w:ascii="Times New Roman" w:hAnsi="Times New Roman" w:cs="Times New Roman"/>
                <w:sz w:val="24"/>
              </w:rPr>
              <w:t>Consulta CEIS;</w:t>
            </w:r>
          </w:p>
          <w:p w:rsidR="00EF71EB" w:rsidRDefault="00EF71EB" w:rsidP="009D75B9">
            <w:pPr>
              <w:numPr>
                <w:ilvl w:val="0"/>
                <w:numId w:val="28"/>
              </w:numPr>
              <w:spacing w:line="256" w:lineRule="auto"/>
              <w:rPr>
                <w:rFonts w:ascii="Times New Roman" w:hAnsi="Times New Roman" w:cs="Times New Roman"/>
                <w:sz w:val="24"/>
              </w:rPr>
            </w:pPr>
            <w:r>
              <w:rPr>
                <w:rFonts w:ascii="Times New Roman" w:hAnsi="Times New Roman" w:cs="Times New Roman"/>
                <w:sz w:val="24"/>
              </w:rPr>
              <w:t>Certidão CNDT;</w:t>
            </w:r>
          </w:p>
          <w:p w:rsidR="00EF71EB" w:rsidRDefault="00EF71EB" w:rsidP="009D75B9">
            <w:pPr>
              <w:numPr>
                <w:ilvl w:val="0"/>
                <w:numId w:val="28"/>
              </w:numPr>
              <w:pBdr>
                <w:top w:val="nil"/>
                <w:left w:val="nil"/>
                <w:bottom w:val="nil"/>
                <w:right w:val="nil"/>
                <w:between w:val="nil"/>
              </w:pBdr>
              <w:spacing w:line="259" w:lineRule="auto"/>
              <w:rPr>
                <w:rFonts w:ascii="Times New Roman" w:hAnsi="Times New Roman" w:cs="Times New Roman"/>
                <w:color w:val="000000"/>
                <w:sz w:val="24"/>
              </w:rPr>
            </w:pPr>
            <w:r>
              <w:rPr>
                <w:rFonts w:ascii="Times New Roman" w:hAnsi="Times New Roman" w:cs="Times New Roman"/>
                <w:color w:val="000000"/>
                <w:sz w:val="24"/>
              </w:rPr>
              <w:t>Índices de liquidez (LG, LC, SG)superiores a 1</w:t>
            </w:r>
            <w:r>
              <w:rPr>
                <w:rFonts w:ascii="Times New Roman" w:hAnsi="Times New Roman" w:cs="Times New Roman"/>
                <w:b/>
                <w:color w:val="000000"/>
                <w:sz w:val="24"/>
                <w:u w:val="single"/>
              </w:rPr>
              <w:t xml:space="preserve">ou </w:t>
            </w:r>
            <w:r>
              <w:rPr>
                <w:rFonts w:ascii="Times New Roman" w:hAnsi="Times New Roman" w:cs="Times New Roman"/>
                <w:color w:val="000000"/>
                <w:sz w:val="24"/>
              </w:rPr>
              <w:t>PL não inferior a 10% (dez por cento) do valor total estimado da contratação ou do item pertinente.</w:t>
            </w:r>
          </w:p>
        </w:tc>
        <w:tc>
          <w:tcPr>
            <w:tcW w:w="5405" w:type="dxa"/>
            <w:gridSpan w:val="2"/>
            <w:shd w:val="clear" w:color="auto" w:fill="auto"/>
          </w:tcPr>
          <w:p w:rsidR="00EF71EB" w:rsidRDefault="00EF71EB" w:rsidP="00A900CB">
            <w:pPr>
              <w:rPr>
                <w:rFonts w:ascii="Times New Roman" w:hAnsi="Times New Roman" w:cs="Times New Roman"/>
                <w:b/>
                <w:sz w:val="24"/>
              </w:rPr>
            </w:pPr>
          </w:p>
          <w:p w:rsidR="00EF71EB" w:rsidRDefault="00EF71EB" w:rsidP="00A900CB">
            <w:pPr>
              <w:rPr>
                <w:rFonts w:ascii="Times New Roman" w:hAnsi="Times New Roman" w:cs="Times New Roman"/>
                <w:sz w:val="24"/>
              </w:rPr>
            </w:pPr>
            <w:r>
              <w:rPr>
                <w:rFonts w:ascii="Times New Roman" w:hAnsi="Times New Roman" w:cs="Times New Roman"/>
                <w:b/>
                <w:sz w:val="24"/>
              </w:rPr>
              <w:t>Requisitos específicos</w:t>
            </w:r>
          </w:p>
          <w:p w:rsidR="00EF71EB" w:rsidRDefault="00EF71EB" w:rsidP="009D75B9">
            <w:pPr>
              <w:numPr>
                <w:ilvl w:val="0"/>
                <w:numId w:val="29"/>
              </w:numPr>
              <w:spacing w:line="259" w:lineRule="auto"/>
              <w:rPr>
                <w:rFonts w:ascii="Times New Roman" w:hAnsi="Times New Roman" w:cs="Times New Roman"/>
                <w:sz w:val="24"/>
              </w:rPr>
            </w:pPr>
            <w:r>
              <w:rPr>
                <w:rFonts w:ascii="Times New Roman" w:hAnsi="Times New Roman" w:cs="Times New Roman"/>
                <w:sz w:val="24"/>
              </w:rPr>
              <w:t>Comprovar experiência mínima de 3 anos (atestados e contratos);</w:t>
            </w:r>
          </w:p>
          <w:p w:rsidR="00EF71EB" w:rsidRDefault="00EF71EB" w:rsidP="009D75B9">
            <w:pPr>
              <w:numPr>
                <w:ilvl w:val="0"/>
                <w:numId w:val="29"/>
              </w:numPr>
              <w:spacing w:line="259" w:lineRule="auto"/>
              <w:rPr>
                <w:rFonts w:ascii="Times New Roman" w:hAnsi="Times New Roman" w:cs="Times New Roman"/>
                <w:b/>
                <w:sz w:val="24"/>
              </w:rPr>
            </w:pPr>
            <w:r>
              <w:rPr>
                <w:rFonts w:ascii="Times New Roman" w:hAnsi="Times New Roman" w:cs="Times New Roman"/>
                <w:sz w:val="24"/>
              </w:rPr>
              <w:t>Demais especificados no edital e seus anexos.</w:t>
            </w:r>
          </w:p>
          <w:p w:rsidR="00EF71EB" w:rsidRDefault="00EF71EB" w:rsidP="00A900CB">
            <w:pPr>
              <w:spacing w:line="259" w:lineRule="auto"/>
              <w:rPr>
                <w:rFonts w:ascii="Times New Roman" w:hAnsi="Times New Roman" w:cs="Times New Roman"/>
                <w:b/>
                <w:sz w:val="24"/>
              </w:rPr>
            </w:pPr>
          </w:p>
          <w:p w:rsidR="00EF71EB" w:rsidRDefault="00EF71EB" w:rsidP="00A900CB">
            <w:pPr>
              <w:spacing w:line="259" w:lineRule="auto"/>
              <w:rPr>
                <w:rFonts w:ascii="Times New Roman" w:hAnsi="Times New Roman" w:cs="Times New Roman"/>
                <w:b/>
                <w:sz w:val="24"/>
              </w:rPr>
            </w:pPr>
            <w:r>
              <w:rPr>
                <w:rFonts w:ascii="Times New Roman" w:hAnsi="Times New Roman" w:cs="Times New Roman"/>
                <w:b/>
                <w:sz w:val="24"/>
              </w:rPr>
              <w:t>Proposta ajustada</w:t>
            </w:r>
          </w:p>
          <w:p w:rsidR="00EF71EB" w:rsidRDefault="00EF71EB" w:rsidP="009D75B9">
            <w:pPr>
              <w:numPr>
                <w:ilvl w:val="0"/>
                <w:numId w:val="29"/>
              </w:numPr>
              <w:spacing w:line="259" w:lineRule="auto"/>
              <w:rPr>
                <w:rFonts w:ascii="Times New Roman" w:hAnsi="Times New Roman" w:cs="Times New Roman"/>
                <w:sz w:val="24"/>
              </w:rPr>
            </w:pPr>
            <w:r>
              <w:rPr>
                <w:rFonts w:ascii="Times New Roman" w:hAnsi="Times New Roman" w:cs="Times New Roman"/>
                <w:sz w:val="24"/>
              </w:rPr>
              <w:t>Proposta ajustada no modelo do Anexo IV.</w:t>
            </w:r>
          </w:p>
          <w:p w:rsidR="00EF71EB" w:rsidRDefault="00EF71EB" w:rsidP="00A900CB">
            <w:pPr>
              <w:rPr>
                <w:rFonts w:ascii="Times New Roman" w:hAnsi="Times New Roman" w:cs="Times New Roman"/>
                <w:sz w:val="24"/>
              </w:rPr>
            </w:pPr>
          </w:p>
        </w:tc>
      </w:tr>
      <w:tr w:rsidR="00EF71EB" w:rsidTr="00A900CB">
        <w:trPr>
          <w:trHeight w:val="217"/>
          <w:jc w:val="center"/>
        </w:trPr>
        <w:tc>
          <w:tcPr>
            <w:tcW w:w="10060" w:type="dxa"/>
            <w:gridSpan w:val="4"/>
            <w:shd w:val="clear" w:color="auto" w:fill="D9D9D9"/>
            <w:vAlign w:val="center"/>
          </w:tcPr>
          <w:p w:rsidR="00EF71EB" w:rsidRDefault="00EF71EB" w:rsidP="00A900CB">
            <w:pPr>
              <w:jc w:val="center"/>
              <w:rPr>
                <w:rFonts w:ascii="Times New Roman" w:hAnsi="Times New Roman" w:cs="Times New Roman"/>
                <w:b/>
                <w:color w:val="FF0000"/>
                <w:sz w:val="24"/>
              </w:rPr>
            </w:pPr>
          </w:p>
        </w:tc>
      </w:tr>
    </w:tbl>
    <w:p w:rsidR="00EF71EB" w:rsidRDefault="00EF71EB" w:rsidP="00EF71EB"/>
    <w:p w:rsidR="00EF71EB" w:rsidRDefault="00EF71EB" w:rsidP="00EF71EB">
      <w:pPr>
        <w:spacing w:before="120" w:after="120" w:line="276" w:lineRule="auto"/>
        <w:ind w:left="716"/>
        <w:jc w:val="both"/>
      </w:pPr>
    </w:p>
    <w:p w:rsidR="00EF71EB" w:rsidRDefault="00EF71EB" w:rsidP="00EF71EB">
      <w:pPr>
        <w:spacing w:before="120" w:after="120" w:line="276" w:lineRule="auto"/>
        <w:ind w:left="716"/>
        <w:jc w:val="both"/>
      </w:pPr>
    </w:p>
    <w:tbl>
      <w:tblPr>
        <w:tblW w:w="102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00"/>
        <w:gridCol w:w="4320"/>
        <w:gridCol w:w="940"/>
        <w:gridCol w:w="1200"/>
        <w:gridCol w:w="1280"/>
        <w:gridCol w:w="1660"/>
      </w:tblGrid>
      <w:tr w:rsidR="00EF71EB" w:rsidRPr="00EF71EB" w:rsidTr="00A900CB">
        <w:trPr>
          <w:trHeight w:val="214"/>
          <w:jc w:val="center"/>
        </w:trPr>
        <w:tc>
          <w:tcPr>
            <w:tcW w:w="10200" w:type="dxa"/>
            <w:gridSpan w:val="6"/>
            <w:tcBorders>
              <w:top w:val="single" w:sz="8" w:space="0" w:color="000000"/>
              <w:left w:val="nil"/>
              <w:bottom w:val="single" w:sz="8" w:space="0" w:color="000000"/>
              <w:right w:val="nil"/>
            </w:tcBorders>
            <w:vAlign w:val="center"/>
          </w:tcPr>
          <w:p w:rsidR="00EF71EB" w:rsidRPr="00EF71EB" w:rsidRDefault="00EF71EB" w:rsidP="00A900CB">
            <w:pPr>
              <w:widowControl w:val="0"/>
              <w:jc w:val="center"/>
              <w:rPr>
                <w:b/>
                <w:sz w:val="18"/>
              </w:rPr>
            </w:pPr>
            <w:r w:rsidRPr="00EF71EB">
              <w:rPr>
                <w:b/>
                <w:sz w:val="18"/>
              </w:rPr>
              <w:lastRenderedPageBreak/>
              <w:t>ÓRGÃO GERENCIADOR</w:t>
            </w:r>
          </w:p>
        </w:tc>
      </w:tr>
      <w:tr w:rsidR="00EF71EB" w:rsidRPr="00EF71EB" w:rsidTr="00A900CB">
        <w:trPr>
          <w:trHeight w:val="274"/>
          <w:jc w:val="center"/>
        </w:trPr>
        <w:tc>
          <w:tcPr>
            <w:tcW w:w="10200" w:type="dxa"/>
            <w:gridSpan w:val="6"/>
            <w:tcBorders>
              <w:top w:val="single" w:sz="8" w:space="0" w:color="000000"/>
              <w:left w:val="single" w:sz="8" w:space="0" w:color="000000"/>
              <w:bottom w:val="single" w:sz="8" w:space="0" w:color="000000"/>
              <w:right w:val="single" w:sz="8" w:space="0" w:color="000000"/>
            </w:tcBorders>
            <w:shd w:val="clear" w:color="auto" w:fill="B7B7B7"/>
            <w:vAlign w:val="center"/>
          </w:tcPr>
          <w:p w:rsidR="00EF71EB" w:rsidRPr="00EF71EB" w:rsidRDefault="00EF71EB" w:rsidP="00A900CB">
            <w:pPr>
              <w:widowControl w:val="0"/>
              <w:jc w:val="center"/>
              <w:rPr>
                <w:b/>
                <w:sz w:val="18"/>
              </w:rPr>
            </w:pPr>
            <w:r w:rsidRPr="00EF71EB">
              <w:rPr>
                <w:b/>
                <w:sz w:val="18"/>
              </w:rPr>
              <w:t xml:space="preserve">IFPB CAMPUS JOÃO PESSOA </w:t>
            </w:r>
          </w:p>
        </w:tc>
      </w:tr>
      <w:tr w:rsidR="00EF71EB" w:rsidRPr="00EF71EB" w:rsidTr="00A900CB">
        <w:trPr>
          <w:trHeight w:val="274"/>
          <w:jc w:val="center"/>
        </w:trPr>
        <w:tc>
          <w:tcPr>
            <w:tcW w:w="10200" w:type="dxa"/>
            <w:gridSpan w:val="6"/>
            <w:tcBorders>
              <w:top w:val="single" w:sz="8" w:space="0" w:color="000000"/>
              <w:left w:val="single" w:sz="8" w:space="0" w:color="000000"/>
              <w:bottom w:val="single" w:sz="8" w:space="0" w:color="000000"/>
              <w:right w:val="single" w:sz="8" w:space="0" w:color="000000"/>
            </w:tcBorders>
            <w:shd w:val="clear" w:color="auto" w:fill="B7B7B7"/>
            <w:vAlign w:val="center"/>
          </w:tcPr>
          <w:p w:rsidR="00EF71EB" w:rsidRPr="00EF71EB" w:rsidRDefault="00EF71EB" w:rsidP="00A900CB">
            <w:pPr>
              <w:widowControl w:val="0"/>
              <w:jc w:val="center"/>
              <w:rPr>
                <w:b/>
                <w:sz w:val="18"/>
              </w:rPr>
            </w:pPr>
            <w:r w:rsidRPr="00EF71EB">
              <w:rPr>
                <w:b/>
                <w:sz w:val="18"/>
              </w:rPr>
              <w:t>GRUPO I</w:t>
            </w:r>
          </w:p>
        </w:tc>
      </w:tr>
      <w:tr w:rsidR="00EF71EB" w:rsidRPr="00EF71EB" w:rsidTr="00A900CB">
        <w:trPr>
          <w:jc w:val="center"/>
        </w:trPr>
        <w:tc>
          <w:tcPr>
            <w:tcW w:w="800" w:type="dxa"/>
            <w:tcBorders>
              <w:top w:val="single" w:sz="8" w:space="0" w:color="000000"/>
              <w:left w:val="single" w:sz="4" w:space="0" w:color="000000"/>
              <w:bottom w:val="single" w:sz="4" w:space="0" w:color="000000"/>
              <w:right w:val="single" w:sz="4" w:space="0" w:color="000000"/>
            </w:tcBorders>
            <w:shd w:val="clear" w:color="auto" w:fill="D9D9D9"/>
            <w:vAlign w:val="center"/>
          </w:tcPr>
          <w:p w:rsidR="00EF71EB" w:rsidRPr="00EF71EB" w:rsidRDefault="00EF71EB" w:rsidP="00A900CB">
            <w:pPr>
              <w:widowControl w:val="0"/>
              <w:jc w:val="center"/>
              <w:rPr>
                <w:sz w:val="18"/>
              </w:rPr>
            </w:pPr>
            <w:r w:rsidRPr="00EF71EB">
              <w:rPr>
                <w:sz w:val="18"/>
              </w:rPr>
              <w:t>ITEM</w:t>
            </w:r>
          </w:p>
          <w:p w:rsidR="00EF71EB" w:rsidRPr="00EF71EB" w:rsidRDefault="00EF71EB" w:rsidP="00A900CB">
            <w:pPr>
              <w:widowControl w:val="0"/>
              <w:jc w:val="center"/>
              <w:rPr>
                <w:sz w:val="18"/>
              </w:rPr>
            </w:pPr>
          </w:p>
        </w:tc>
        <w:tc>
          <w:tcPr>
            <w:tcW w:w="4320" w:type="dxa"/>
            <w:tcBorders>
              <w:top w:val="single" w:sz="8" w:space="0" w:color="000000"/>
              <w:left w:val="single" w:sz="4" w:space="0" w:color="000000"/>
              <w:bottom w:val="single" w:sz="4" w:space="0" w:color="000000"/>
              <w:right w:val="single" w:sz="4" w:space="0" w:color="000000"/>
            </w:tcBorders>
            <w:shd w:val="clear" w:color="auto" w:fill="D9D9D9"/>
            <w:vAlign w:val="center"/>
          </w:tcPr>
          <w:p w:rsidR="00EF71EB" w:rsidRPr="00EF71EB" w:rsidRDefault="00EF71EB" w:rsidP="00A900CB">
            <w:pPr>
              <w:jc w:val="center"/>
              <w:rPr>
                <w:sz w:val="18"/>
              </w:rPr>
            </w:pPr>
            <w:r w:rsidRPr="00EF71EB">
              <w:rPr>
                <w:sz w:val="18"/>
              </w:rPr>
              <w:t>DESCRIÇÃO/</w:t>
            </w:r>
          </w:p>
          <w:p w:rsidR="00EF71EB" w:rsidRPr="00EF71EB" w:rsidRDefault="00EF71EB" w:rsidP="00A900CB">
            <w:pPr>
              <w:widowControl w:val="0"/>
              <w:jc w:val="center"/>
              <w:rPr>
                <w:sz w:val="18"/>
              </w:rPr>
            </w:pPr>
            <w:r w:rsidRPr="00EF71EB">
              <w:rPr>
                <w:sz w:val="18"/>
              </w:rPr>
              <w:t>ESPECIFICAÇÃO</w:t>
            </w:r>
          </w:p>
        </w:tc>
        <w:tc>
          <w:tcPr>
            <w:tcW w:w="940" w:type="dxa"/>
            <w:tcBorders>
              <w:top w:val="single" w:sz="8" w:space="0" w:color="000000"/>
              <w:left w:val="single" w:sz="4" w:space="0" w:color="000000"/>
              <w:bottom w:val="single" w:sz="4" w:space="0" w:color="000000"/>
              <w:right w:val="single" w:sz="4" w:space="0" w:color="000000"/>
            </w:tcBorders>
            <w:shd w:val="clear" w:color="auto" w:fill="D9D9D9"/>
            <w:vAlign w:val="center"/>
          </w:tcPr>
          <w:p w:rsidR="00EF71EB" w:rsidRPr="00EF71EB" w:rsidRDefault="00EF71EB" w:rsidP="00A900CB">
            <w:pPr>
              <w:widowControl w:val="0"/>
              <w:jc w:val="center"/>
              <w:rPr>
                <w:sz w:val="18"/>
              </w:rPr>
            </w:pPr>
            <w:r w:rsidRPr="00EF71EB">
              <w:rPr>
                <w:sz w:val="18"/>
              </w:rPr>
              <w:t>Unidade de Medida</w:t>
            </w:r>
          </w:p>
        </w:tc>
        <w:tc>
          <w:tcPr>
            <w:tcW w:w="1200" w:type="dxa"/>
            <w:tcBorders>
              <w:top w:val="single" w:sz="8" w:space="0" w:color="000000"/>
              <w:left w:val="single" w:sz="4" w:space="0" w:color="000000"/>
              <w:bottom w:val="single" w:sz="4" w:space="0" w:color="000000"/>
              <w:right w:val="single" w:sz="4" w:space="0" w:color="000000"/>
            </w:tcBorders>
            <w:shd w:val="clear" w:color="auto" w:fill="D9D9D9"/>
            <w:vAlign w:val="center"/>
          </w:tcPr>
          <w:p w:rsidR="00EF71EB" w:rsidRPr="00EF71EB" w:rsidRDefault="00EF71EB" w:rsidP="00A900CB">
            <w:pPr>
              <w:widowControl w:val="0"/>
              <w:jc w:val="center"/>
              <w:rPr>
                <w:sz w:val="18"/>
              </w:rPr>
            </w:pPr>
            <w:r w:rsidRPr="00EF71EB">
              <w:rPr>
                <w:sz w:val="18"/>
              </w:rPr>
              <w:t>Quantidade</w:t>
            </w:r>
          </w:p>
        </w:tc>
        <w:tc>
          <w:tcPr>
            <w:tcW w:w="1280" w:type="dxa"/>
            <w:tcBorders>
              <w:top w:val="single" w:sz="8" w:space="0" w:color="000000"/>
              <w:left w:val="single" w:sz="4" w:space="0" w:color="000000"/>
              <w:bottom w:val="single" w:sz="4" w:space="0" w:color="000000"/>
              <w:right w:val="single" w:sz="4" w:space="0" w:color="000000"/>
            </w:tcBorders>
            <w:shd w:val="clear" w:color="auto" w:fill="D9D9D9"/>
            <w:vAlign w:val="center"/>
          </w:tcPr>
          <w:p w:rsidR="00EF71EB" w:rsidRPr="00EF71EB" w:rsidRDefault="00EF71EB" w:rsidP="00A900CB">
            <w:pPr>
              <w:widowControl w:val="0"/>
              <w:jc w:val="center"/>
              <w:rPr>
                <w:sz w:val="18"/>
              </w:rPr>
            </w:pPr>
            <w:r w:rsidRPr="00EF71EB">
              <w:rPr>
                <w:sz w:val="18"/>
              </w:rPr>
              <w:t>Valor Unitário Máximo Aceitável (R$)</w:t>
            </w:r>
          </w:p>
          <w:p w:rsidR="00EF71EB" w:rsidRPr="00EF71EB" w:rsidRDefault="00EF71EB" w:rsidP="00A900CB">
            <w:pPr>
              <w:widowControl w:val="0"/>
              <w:jc w:val="center"/>
              <w:rPr>
                <w:sz w:val="18"/>
              </w:rPr>
            </w:pPr>
            <w:r w:rsidRPr="00EF71EB">
              <w:rPr>
                <w:sz w:val="18"/>
              </w:rPr>
              <w:t>Mês</w:t>
            </w:r>
          </w:p>
        </w:tc>
        <w:tc>
          <w:tcPr>
            <w:tcW w:w="1660" w:type="dxa"/>
            <w:tcBorders>
              <w:top w:val="single" w:sz="8" w:space="0" w:color="000000"/>
              <w:left w:val="single" w:sz="4" w:space="0" w:color="000000"/>
              <w:bottom w:val="single" w:sz="4" w:space="0" w:color="000000"/>
              <w:right w:val="single" w:sz="4" w:space="0" w:color="000000"/>
            </w:tcBorders>
            <w:shd w:val="clear" w:color="auto" w:fill="D9D9D9"/>
          </w:tcPr>
          <w:p w:rsidR="00EF71EB" w:rsidRPr="00EF71EB" w:rsidRDefault="00EF71EB" w:rsidP="00A900CB">
            <w:pPr>
              <w:widowControl w:val="0"/>
              <w:jc w:val="center"/>
              <w:rPr>
                <w:sz w:val="18"/>
              </w:rPr>
            </w:pPr>
            <w:r w:rsidRPr="00EF71EB">
              <w:rPr>
                <w:sz w:val="18"/>
              </w:rPr>
              <w:t>Valor Total Máximo Aceitável (R$)</w:t>
            </w:r>
          </w:p>
          <w:p w:rsidR="00EF71EB" w:rsidRPr="00EF71EB" w:rsidRDefault="00EF71EB" w:rsidP="00A900CB">
            <w:pPr>
              <w:widowControl w:val="0"/>
              <w:jc w:val="center"/>
              <w:rPr>
                <w:sz w:val="18"/>
              </w:rPr>
            </w:pPr>
            <w:r w:rsidRPr="00EF71EB">
              <w:rPr>
                <w:sz w:val="18"/>
              </w:rPr>
              <w:t>Ano</w:t>
            </w:r>
          </w:p>
        </w:tc>
      </w:tr>
      <w:tr w:rsidR="00EF71EB" w:rsidRPr="00EF71EB" w:rsidTr="00A900CB">
        <w:trPr>
          <w:jc w:val="center"/>
        </w:trPr>
        <w:tc>
          <w:tcPr>
            <w:tcW w:w="80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after="120" w:line="276" w:lineRule="auto"/>
              <w:jc w:val="center"/>
              <w:rPr>
                <w:sz w:val="18"/>
              </w:rPr>
            </w:pPr>
            <w:r w:rsidRPr="00EF71EB">
              <w:rPr>
                <w:sz w:val="18"/>
              </w:rPr>
              <w:t>1</w:t>
            </w:r>
          </w:p>
        </w:tc>
        <w:tc>
          <w:tcPr>
            <w:tcW w:w="432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before="106" w:line="276" w:lineRule="auto"/>
              <w:ind w:left="69"/>
              <w:jc w:val="both"/>
              <w:rPr>
                <w:sz w:val="18"/>
              </w:rPr>
            </w:pPr>
            <w:r w:rsidRPr="00EF71EB">
              <w:rPr>
                <w:i/>
                <w:sz w:val="18"/>
              </w:rPr>
              <w:t xml:space="preserve">PRESTAÇÃO DE SERVIÇOS DE APOIO ADMINISTRATIVO - Posto de serviços: </w:t>
            </w:r>
            <w:r w:rsidRPr="00EF71EB">
              <w:rPr>
                <w:b/>
                <w:i/>
                <w:sz w:val="18"/>
              </w:rPr>
              <w:t>MONITOR DE SISTEMAS ELETRÔNICOS DE SEGURANÇA INTERNO (6% DE GRATIFICAÇÃO) - CBO 9513-15</w:t>
            </w:r>
            <w:r w:rsidRPr="00EF71EB">
              <w:rPr>
                <w:i/>
                <w:sz w:val="18"/>
              </w:rPr>
              <w:t>, em jornada semanal de 44 (quarenta e quatro) horas. CATSER - 5380</w:t>
            </w:r>
          </w:p>
        </w:tc>
        <w:tc>
          <w:tcPr>
            <w:tcW w:w="94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after="120" w:line="276" w:lineRule="auto"/>
              <w:jc w:val="center"/>
              <w:rPr>
                <w:sz w:val="18"/>
              </w:rPr>
            </w:pPr>
            <w:r w:rsidRPr="00EF71EB">
              <w:rPr>
                <w:sz w:val="18"/>
              </w:rPr>
              <w:t>Posto</w:t>
            </w:r>
          </w:p>
        </w:tc>
        <w:tc>
          <w:tcPr>
            <w:tcW w:w="120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before="2" w:line="276" w:lineRule="auto"/>
              <w:ind w:left="150" w:right="138"/>
              <w:jc w:val="center"/>
              <w:rPr>
                <w:sz w:val="18"/>
              </w:rPr>
            </w:pPr>
            <w:r w:rsidRPr="00EF71EB">
              <w:rPr>
                <w:sz w:val="18"/>
              </w:rPr>
              <w:t>02</w:t>
            </w:r>
          </w:p>
        </w:tc>
        <w:tc>
          <w:tcPr>
            <w:tcW w:w="128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right"/>
              <w:rPr>
                <w:sz w:val="18"/>
              </w:rPr>
            </w:pPr>
            <w:r w:rsidRPr="00EF71EB">
              <w:rPr>
                <w:sz w:val="18"/>
              </w:rPr>
              <w:t>R$ 2.813,30</w:t>
            </w:r>
          </w:p>
        </w:tc>
        <w:tc>
          <w:tcPr>
            <w:tcW w:w="166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right"/>
              <w:rPr>
                <w:sz w:val="18"/>
              </w:rPr>
            </w:pPr>
            <w:r w:rsidRPr="00EF71EB">
              <w:rPr>
                <w:sz w:val="18"/>
              </w:rPr>
              <w:t>67.519,20</w:t>
            </w:r>
          </w:p>
        </w:tc>
      </w:tr>
      <w:tr w:rsidR="00EF71EB" w:rsidRPr="00EF71EB" w:rsidTr="00A900CB">
        <w:trPr>
          <w:jc w:val="center"/>
        </w:trPr>
        <w:tc>
          <w:tcPr>
            <w:tcW w:w="80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after="120" w:line="276" w:lineRule="auto"/>
              <w:jc w:val="center"/>
              <w:rPr>
                <w:sz w:val="18"/>
              </w:rPr>
            </w:pPr>
            <w:r w:rsidRPr="00EF71EB">
              <w:rPr>
                <w:sz w:val="18"/>
              </w:rPr>
              <w:t>2</w:t>
            </w:r>
          </w:p>
        </w:tc>
        <w:tc>
          <w:tcPr>
            <w:tcW w:w="432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before="106" w:line="276" w:lineRule="auto"/>
              <w:ind w:left="69"/>
              <w:jc w:val="both"/>
              <w:rPr>
                <w:sz w:val="18"/>
              </w:rPr>
            </w:pPr>
            <w:r w:rsidRPr="00EF71EB">
              <w:rPr>
                <w:i/>
                <w:sz w:val="18"/>
              </w:rPr>
              <w:t xml:space="preserve">PRESTAÇÃO DE SERVIÇOS DE APOIO ADMINISTRATIVO - Posto de serviços: </w:t>
            </w:r>
            <w:r w:rsidRPr="00EF71EB">
              <w:rPr>
                <w:b/>
                <w:i/>
                <w:sz w:val="18"/>
              </w:rPr>
              <w:t>ALMOXARIFE - CBO 4141-05</w:t>
            </w:r>
            <w:r w:rsidRPr="00EF71EB">
              <w:rPr>
                <w:i/>
                <w:sz w:val="18"/>
              </w:rPr>
              <w:t>, em jornada semanal de 44 (quarenta e quatro) horas. CATSER - 5380</w:t>
            </w:r>
          </w:p>
        </w:tc>
        <w:tc>
          <w:tcPr>
            <w:tcW w:w="94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center"/>
              <w:rPr>
                <w:sz w:val="18"/>
              </w:rPr>
            </w:pPr>
            <w:r w:rsidRPr="00EF71EB">
              <w:rPr>
                <w:sz w:val="18"/>
              </w:rPr>
              <w:t>Posto</w:t>
            </w:r>
          </w:p>
        </w:tc>
        <w:tc>
          <w:tcPr>
            <w:tcW w:w="120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before="2" w:line="276" w:lineRule="auto"/>
              <w:ind w:left="150" w:right="138"/>
              <w:jc w:val="center"/>
              <w:rPr>
                <w:sz w:val="18"/>
              </w:rPr>
            </w:pPr>
            <w:r w:rsidRPr="00EF71EB">
              <w:rPr>
                <w:sz w:val="18"/>
              </w:rPr>
              <w:t>02</w:t>
            </w:r>
          </w:p>
        </w:tc>
        <w:tc>
          <w:tcPr>
            <w:tcW w:w="128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right"/>
              <w:rPr>
                <w:sz w:val="18"/>
              </w:rPr>
            </w:pPr>
            <w:r w:rsidRPr="00EF71EB">
              <w:rPr>
                <w:sz w:val="18"/>
              </w:rPr>
              <w:t>R$ 2.682,17</w:t>
            </w:r>
          </w:p>
        </w:tc>
        <w:tc>
          <w:tcPr>
            <w:tcW w:w="166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right"/>
              <w:rPr>
                <w:sz w:val="18"/>
              </w:rPr>
            </w:pPr>
            <w:r w:rsidRPr="00EF71EB">
              <w:rPr>
                <w:sz w:val="18"/>
              </w:rPr>
              <w:t>64.372,08</w:t>
            </w:r>
          </w:p>
        </w:tc>
      </w:tr>
      <w:tr w:rsidR="00EF71EB" w:rsidRPr="00EF71EB" w:rsidTr="00A900CB">
        <w:trPr>
          <w:jc w:val="center"/>
        </w:trPr>
        <w:tc>
          <w:tcPr>
            <w:tcW w:w="80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after="120" w:line="276" w:lineRule="auto"/>
              <w:jc w:val="center"/>
              <w:rPr>
                <w:sz w:val="18"/>
              </w:rPr>
            </w:pPr>
            <w:r w:rsidRPr="00EF71EB">
              <w:rPr>
                <w:sz w:val="18"/>
              </w:rPr>
              <w:t>3</w:t>
            </w:r>
          </w:p>
        </w:tc>
        <w:tc>
          <w:tcPr>
            <w:tcW w:w="432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before="106" w:line="276" w:lineRule="auto"/>
              <w:ind w:left="69"/>
              <w:jc w:val="both"/>
              <w:rPr>
                <w:sz w:val="18"/>
              </w:rPr>
            </w:pPr>
            <w:r w:rsidRPr="00EF71EB">
              <w:rPr>
                <w:i/>
                <w:sz w:val="18"/>
              </w:rPr>
              <w:t xml:space="preserve">PRESTAÇÃO DE SERVIÇOS DE APOIO ADMINISTRATIVO - Posto de serviços: </w:t>
            </w:r>
            <w:r w:rsidRPr="00EF71EB">
              <w:rPr>
                <w:b/>
                <w:i/>
                <w:sz w:val="18"/>
              </w:rPr>
              <w:t>RECEPCIONISTA - CBO 4221</w:t>
            </w:r>
            <w:r w:rsidRPr="00EF71EB">
              <w:rPr>
                <w:i/>
                <w:sz w:val="18"/>
              </w:rPr>
              <w:t>, em jornada semanal de 44 (quarenta e quatro) horas. CATSER - 5380</w:t>
            </w:r>
          </w:p>
        </w:tc>
        <w:tc>
          <w:tcPr>
            <w:tcW w:w="94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center"/>
              <w:rPr>
                <w:sz w:val="18"/>
              </w:rPr>
            </w:pPr>
            <w:r w:rsidRPr="00EF71EB">
              <w:rPr>
                <w:sz w:val="18"/>
              </w:rPr>
              <w:t>Posto</w:t>
            </w:r>
          </w:p>
        </w:tc>
        <w:tc>
          <w:tcPr>
            <w:tcW w:w="120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before="2" w:line="276" w:lineRule="auto"/>
              <w:ind w:left="150" w:right="138"/>
              <w:jc w:val="center"/>
              <w:rPr>
                <w:sz w:val="18"/>
              </w:rPr>
            </w:pPr>
            <w:r w:rsidRPr="00EF71EB">
              <w:rPr>
                <w:sz w:val="18"/>
              </w:rPr>
              <w:t>30</w:t>
            </w:r>
          </w:p>
        </w:tc>
        <w:tc>
          <w:tcPr>
            <w:tcW w:w="128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right"/>
              <w:rPr>
                <w:sz w:val="18"/>
              </w:rPr>
            </w:pPr>
            <w:r w:rsidRPr="00EF71EB">
              <w:rPr>
                <w:sz w:val="18"/>
              </w:rPr>
              <w:t>R$ 2.682,17</w:t>
            </w:r>
          </w:p>
        </w:tc>
        <w:tc>
          <w:tcPr>
            <w:tcW w:w="166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right"/>
              <w:rPr>
                <w:sz w:val="18"/>
              </w:rPr>
            </w:pPr>
            <w:r w:rsidRPr="00EF71EB">
              <w:rPr>
                <w:sz w:val="18"/>
              </w:rPr>
              <w:t>R$ 965.581,20</w:t>
            </w:r>
          </w:p>
        </w:tc>
      </w:tr>
      <w:tr w:rsidR="00EF71EB" w:rsidRPr="00EF71EB" w:rsidTr="00A900CB">
        <w:trPr>
          <w:jc w:val="center"/>
        </w:trPr>
        <w:tc>
          <w:tcPr>
            <w:tcW w:w="80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after="120" w:line="276" w:lineRule="auto"/>
              <w:jc w:val="center"/>
              <w:rPr>
                <w:sz w:val="18"/>
              </w:rPr>
            </w:pPr>
            <w:r w:rsidRPr="00EF71EB">
              <w:rPr>
                <w:sz w:val="18"/>
              </w:rPr>
              <w:t>4</w:t>
            </w:r>
          </w:p>
        </w:tc>
        <w:tc>
          <w:tcPr>
            <w:tcW w:w="432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before="106" w:line="276" w:lineRule="auto"/>
              <w:ind w:left="69"/>
              <w:jc w:val="both"/>
              <w:rPr>
                <w:sz w:val="18"/>
              </w:rPr>
            </w:pPr>
            <w:r w:rsidRPr="00EF71EB">
              <w:rPr>
                <w:i/>
                <w:sz w:val="18"/>
              </w:rPr>
              <w:t xml:space="preserve">PRESTAÇÃO DE SERVIÇOS DE APOIO ADMINISTRATIVO - Posto de serviços: </w:t>
            </w:r>
            <w:r w:rsidRPr="00EF71EB">
              <w:rPr>
                <w:b/>
                <w:i/>
                <w:sz w:val="18"/>
              </w:rPr>
              <w:t>OPERADOR DE MÁQUINA FOTOCOPIADORA - CBO 4151-30</w:t>
            </w:r>
            <w:r w:rsidRPr="00EF71EB">
              <w:rPr>
                <w:i/>
                <w:sz w:val="18"/>
              </w:rPr>
              <w:t>, em jornada semanal de 44 (quarenta e quatro) horas. CATSER - 5380</w:t>
            </w:r>
          </w:p>
        </w:tc>
        <w:tc>
          <w:tcPr>
            <w:tcW w:w="94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center"/>
              <w:rPr>
                <w:sz w:val="18"/>
              </w:rPr>
            </w:pPr>
            <w:r w:rsidRPr="00EF71EB">
              <w:rPr>
                <w:sz w:val="18"/>
              </w:rPr>
              <w:t>Posto</w:t>
            </w:r>
          </w:p>
        </w:tc>
        <w:tc>
          <w:tcPr>
            <w:tcW w:w="120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before="2" w:line="276" w:lineRule="auto"/>
              <w:ind w:left="150" w:right="138"/>
              <w:jc w:val="center"/>
              <w:rPr>
                <w:sz w:val="18"/>
              </w:rPr>
            </w:pPr>
            <w:r w:rsidRPr="00EF71EB">
              <w:rPr>
                <w:sz w:val="18"/>
              </w:rPr>
              <w:t>01</w:t>
            </w:r>
          </w:p>
        </w:tc>
        <w:tc>
          <w:tcPr>
            <w:tcW w:w="128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right"/>
              <w:rPr>
                <w:sz w:val="18"/>
              </w:rPr>
            </w:pPr>
            <w:r w:rsidRPr="00EF71EB">
              <w:rPr>
                <w:sz w:val="18"/>
              </w:rPr>
              <w:t>R$ 2.682,17</w:t>
            </w:r>
          </w:p>
        </w:tc>
        <w:tc>
          <w:tcPr>
            <w:tcW w:w="166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right"/>
              <w:rPr>
                <w:sz w:val="18"/>
              </w:rPr>
            </w:pPr>
            <w:r w:rsidRPr="00EF71EB">
              <w:rPr>
                <w:sz w:val="18"/>
              </w:rPr>
              <w:t>R$ 32.186,04</w:t>
            </w:r>
          </w:p>
        </w:tc>
      </w:tr>
      <w:tr w:rsidR="00EF71EB" w:rsidRPr="00EF71EB" w:rsidTr="00A900CB">
        <w:trPr>
          <w:jc w:val="center"/>
        </w:trPr>
        <w:tc>
          <w:tcPr>
            <w:tcW w:w="80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after="120" w:line="276" w:lineRule="auto"/>
              <w:jc w:val="center"/>
              <w:rPr>
                <w:sz w:val="18"/>
              </w:rPr>
            </w:pPr>
            <w:r w:rsidRPr="00EF71EB">
              <w:rPr>
                <w:sz w:val="18"/>
              </w:rPr>
              <w:t>5</w:t>
            </w:r>
          </w:p>
        </w:tc>
        <w:tc>
          <w:tcPr>
            <w:tcW w:w="432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before="106" w:line="276" w:lineRule="auto"/>
              <w:ind w:left="69"/>
              <w:jc w:val="both"/>
              <w:rPr>
                <w:sz w:val="18"/>
              </w:rPr>
            </w:pPr>
            <w:r w:rsidRPr="00EF71EB">
              <w:rPr>
                <w:i/>
                <w:sz w:val="18"/>
              </w:rPr>
              <w:t xml:space="preserve">PRESTAÇÃO DE SERVIÇOS DE APOIO ADMINISTRATIVO - Posto de serviços: </w:t>
            </w:r>
            <w:r w:rsidRPr="00EF71EB">
              <w:rPr>
                <w:b/>
                <w:i/>
                <w:sz w:val="18"/>
              </w:rPr>
              <w:t>COPEIRO - CBO 5134-25</w:t>
            </w:r>
            <w:r w:rsidRPr="00EF71EB">
              <w:rPr>
                <w:i/>
                <w:sz w:val="18"/>
              </w:rPr>
              <w:t>, em jornada semanal de 44 (quarenta e quatro) horas. CATSER - 5380</w:t>
            </w:r>
          </w:p>
        </w:tc>
        <w:tc>
          <w:tcPr>
            <w:tcW w:w="94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center"/>
              <w:rPr>
                <w:sz w:val="18"/>
              </w:rPr>
            </w:pPr>
            <w:r w:rsidRPr="00EF71EB">
              <w:rPr>
                <w:sz w:val="18"/>
              </w:rPr>
              <w:t>Posto</w:t>
            </w:r>
          </w:p>
        </w:tc>
        <w:tc>
          <w:tcPr>
            <w:tcW w:w="120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before="2" w:line="276" w:lineRule="auto"/>
              <w:ind w:left="150" w:right="138"/>
              <w:jc w:val="center"/>
              <w:rPr>
                <w:sz w:val="18"/>
              </w:rPr>
            </w:pPr>
            <w:r w:rsidRPr="00EF71EB">
              <w:rPr>
                <w:sz w:val="18"/>
              </w:rPr>
              <w:t>03</w:t>
            </w:r>
          </w:p>
        </w:tc>
        <w:tc>
          <w:tcPr>
            <w:tcW w:w="128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right"/>
              <w:rPr>
                <w:sz w:val="18"/>
              </w:rPr>
            </w:pPr>
            <w:r w:rsidRPr="00EF71EB">
              <w:rPr>
                <w:sz w:val="18"/>
              </w:rPr>
              <w:t>R$ 2.685,80</w:t>
            </w:r>
          </w:p>
        </w:tc>
        <w:tc>
          <w:tcPr>
            <w:tcW w:w="166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right"/>
              <w:rPr>
                <w:sz w:val="18"/>
              </w:rPr>
            </w:pPr>
            <w:r w:rsidRPr="00EF71EB">
              <w:rPr>
                <w:sz w:val="18"/>
              </w:rPr>
              <w:t>R$ 96.688,80</w:t>
            </w:r>
          </w:p>
        </w:tc>
      </w:tr>
      <w:tr w:rsidR="00EF71EB" w:rsidRPr="00EF71EB" w:rsidTr="00A900CB">
        <w:trPr>
          <w:jc w:val="center"/>
        </w:trPr>
        <w:tc>
          <w:tcPr>
            <w:tcW w:w="80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after="120" w:line="276" w:lineRule="auto"/>
              <w:jc w:val="center"/>
              <w:rPr>
                <w:sz w:val="18"/>
              </w:rPr>
            </w:pPr>
            <w:r w:rsidRPr="00EF71EB">
              <w:rPr>
                <w:sz w:val="18"/>
              </w:rPr>
              <w:t>6</w:t>
            </w:r>
          </w:p>
        </w:tc>
        <w:tc>
          <w:tcPr>
            <w:tcW w:w="432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before="106" w:line="276" w:lineRule="auto"/>
              <w:ind w:left="69"/>
              <w:jc w:val="both"/>
              <w:rPr>
                <w:sz w:val="18"/>
              </w:rPr>
            </w:pPr>
            <w:r w:rsidRPr="00EF71EB">
              <w:rPr>
                <w:i/>
                <w:sz w:val="18"/>
              </w:rPr>
              <w:t xml:space="preserve">PRESTAÇÃO DE SERVIÇOS DE APOIO ADMINISTRATIVO - Posto de serviços: </w:t>
            </w:r>
            <w:r w:rsidRPr="00EF71EB">
              <w:rPr>
                <w:b/>
                <w:i/>
                <w:sz w:val="18"/>
              </w:rPr>
              <w:t>MONTADOR DE EQUIPAMENTOS ELETRÔNICOS (COMPUTADORES E EQUIPAMENTOS AUXILIARES) - CBO 7311-10</w:t>
            </w:r>
            <w:r w:rsidRPr="00EF71EB">
              <w:rPr>
                <w:i/>
                <w:sz w:val="18"/>
              </w:rPr>
              <w:t>, em jornada semanal de 44 (quarenta e quatro) horas. CATSER - 5380</w:t>
            </w:r>
          </w:p>
        </w:tc>
        <w:tc>
          <w:tcPr>
            <w:tcW w:w="94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center"/>
              <w:rPr>
                <w:sz w:val="18"/>
              </w:rPr>
            </w:pPr>
            <w:r w:rsidRPr="00EF71EB">
              <w:rPr>
                <w:sz w:val="18"/>
              </w:rPr>
              <w:t>Posto</w:t>
            </w:r>
          </w:p>
        </w:tc>
        <w:tc>
          <w:tcPr>
            <w:tcW w:w="120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before="2" w:line="276" w:lineRule="auto"/>
              <w:ind w:left="150" w:right="138"/>
              <w:jc w:val="center"/>
              <w:rPr>
                <w:sz w:val="18"/>
              </w:rPr>
            </w:pPr>
            <w:r w:rsidRPr="00EF71EB">
              <w:rPr>
                <w:sz w:val="18"/>
              </w:rPr>
              <w:t>03</w:t>
            </w:r>
          </w:p>
        </w:tc>
        <w:tc>
          <w:tcPr>
            <w:tcW w:w="128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right"/>
              <w:rPr>
                <w:sz w:val="18"/>
              </w:rPr>
            </w:pPr>
            <w:r w:rsidRPr="00EF71EB">
              <w:rPr>
                <w:sz w:val="18"/>
              </w:rPr>
              <w:t>R$ 2.682,17</w:t>
            </w:r>
          </w:p>
        </w:tc>
        <w:tc>
          <w:tcPr>
            <w:tcW w:w="166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right"/>
              <w:rPr>
                <w:sz w:val="18"/>
              </w:rPr>
            </w:pPr>
            <w:r w:rsidRPr="00EF71EB">
              <w:rPr>
                <w:sz w:val="18"/>
              </w:rPr>
              <w:t>R$ 96.558,12</w:t>
            </w:r>
          </w:p>
        </w:tc>
      </w:tr>
      <w:tr w:rsidR="00EF71EB" w:rsidRPr="00EF71EB" w:rsidTr="00A900CB">
        <w:trPr>
          <w:jc w:val="center"/>
        </w:trPr>
        <w:tc>
          <w:tcPr>
            <w:tcW w:w="80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after="120" w:line="276" w:lineRule="auto"/>
              <w:jc w:val="center"/>
              <w:rPr>
                <w:sz w:val="18"/>
              </w:rPr>
            </w:pPr>
            <w:r w:rsidRPr="00EF71EB">
              <w:rPr>
                <w:sz w:val="18"/>
              </w:rPr>
              <w:t>7</w:t>
            </w:r>
          </w:p>
        </w:tc>
        <w:tc>
          <w:tcPr>
            <w:tcW w:w="432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before="106" w:line="276" w:lineRule="auto"/>
              <w:ind w:left="69"/>
              <w:jc w:val="both"/>
              <w:rPr>
                <w:sz w:val="18"/>
              </w:rPr>
            </w:pPr>
            <w:r w:rsidRPr="00EF71EB">
              <w:rPr>
                <w:i/>
                <w:sz w:val="18"/>
              </w:rPr>
              <w:t xml:space="preserve">PRESTAÇÃO DE SERVIÇOS DE APOIO ADMINISTRATIVO - Posto de serviços: </w:t>
            </w:r>
            <w:r w:rsidRPr="00EF71EB">
              <w:rPr>
                <w:b/>
                <w:i/>
                <w:sz w:val="18"/>
              </w:rPr>
              <w:t>JARDINEIRO - CBO 6220-10</w:t>
            </w:r>
            <w:r w:rsidRPr="00EF71EB">
              <w:rPr>
                <w:i/>
                <w:sz w:val="18"/>
              </w:rPr>
              <w:t>, em jornada semanal de 44 (quarenta e quatro) horas. CATSER - 5380</w:t>
            </w:r>
          </w:p>
        </w:tc>
        <w:tc>
          <w:tcPr>
            <w:tcW w:w="94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center"/>
              <w:rPr>
                <w:sz w:val="18"/>
              </w:rPr>
            </w:pPr>
            <w:r w:rsidRPr="00EF71EB">
              <w:rPr>
                <w:sz w:val="18"/>
              </w:rPr>
              <w:t>Posto</w:t>
            </w:r>
          </w:p>
        </w:tc>
        <w:tc>
          <w:tcPr>
            <w:tcW w:w="120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before="2" w:line="276" w:lineRule="auto"/>
              <w:ind w:left="150" w:right="138"/>
              <w:jc w:val="center"/>
              <w:rPr>
                <w:sz w:val="18"/>
              </w:rPr>
            </w:pPr>
            <w:r w:rsidRPr="00EF71EB">
              <w:rPr>
                <w:sz w:val="18"/>
              </w:rPr>
              <w:t>02</w:t>
            </w:r>
          </w:p>
        </w:tc>
        <w:tc>
          <w:tcPr>
            <w:tcW w:w="128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right"/>
              <w:rPr>
                <w:sz w:val="18"/>
              </w:rPr>
            </w:pPr>
            <w:r w:rsidRPr="00EF71EB">
              <w:rPr>
                <w:sz w:val="18"/>
              </w:rPr>
              <w:t>R$ 2.689,67</w:t>
            </w:r>
          </w:p>
        </w:tc>
        <w:tc>
          <w:tcPr>
            <w:tcW w:w="166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right"/>
              <w:rPr>
                <w:sz w:val="18"/>
              </w:rPr>
            </w:pPr>
            <w:r w:rsidRPr="00EF71EB">
              <w:rPr>
                <w:sz w:val="18"/>
              </w:rPr>
              <w:t>R$ 64.552,08</w:t>
            </w:r>
          </w:p>
        </w:tc>
      </w:tr>
      <w:tr w:rsidR="00EF71EB" w:rsidRPr="00EF71EB" w:rsidTr="00A900CB">
        <w:trPr>
          <w:jc w:val="center"/>
        </w:trPr>
        <w:tc>
          <w:tcPr>
            <w:tcW w:w="80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after="120" w:line="276" w:lineRule="auto"/>
              <w:jc w:val="center"/>
              <w:rPr>
                <w:sz w:val="18"/>
              </w:rPr>
            </w:pPr>
            <w:r w:rsidRPr="00EF71EB">
              <w:rPr>
                <w:sz w:val="18"/>
              </w:rPr>
              <w:lastRenderedPageBreak/>
              <w:t>8</w:t>
            </w:r>
          </w:p>
        </w:tc>
        <w:tc>
          <w:tcPr>
            <w:tcW w:w="432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before="106" w:line="276" w:lineRule="auto"/>
              <w:ind w:left="69"/>
              <w:jc w:val="both"/>
              <w:rPr>
                <w:sz w:val="18"/>
              </w:rPr>
            </w:pPr>
            <w:r w:rsidRPr="00EF71EB">
              <w:rPr>
                <w:i/>
                <w:sz w:val="18"/>
              </w:rPr>
              <w:t xml:space="preserve">PRESTAÇÃO DE SERVIÇOS DE APOIO ADMINISTRATIVO - Posto de serviços: </w:t>
            </w:r>
            <w:r w:rsidRPr="00EF71EB">
              <w:rPr>
                <w:b/>
                <w:i/>
                <w:sz w:val="18"/>
              </w:rPr>
              <w:t>TRABALHADOR EM SERVIÇOS DE MANUTENÇÃO DE EDIFICAÇÕES - CBO 5143</w:t>
            </w:r>
            <w:r w:rsidRPr="00EF71EB">
              <w:rPr>
                <w:i/>
                <w:sz w:val="18"/>
              </w:rPr>
              <w:t>, em jornada semanal de 44 (quarenta e quatro) horas. CATSER - 5380</w:t>
            </w:r>
          </w:p>
        </w:tc>
        <w:tc>
          <w:tcPr>
            <w:tcW w:w="94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center"/>
              <w:rPr>
                <w:sz w:val="18"/>
              </w:rPr>
            </w:pPr>
            <w:r w:rsidRPr="00EF71EB">
              <w:rPr>
                <w:sz w:val="18"/>
              </w:rPr>
              <w:t>Posto</w:t>
            </w:r>
          </w:p>
        </w:tc>
        <w:tc>
          <w:tcPr>
            <w:tcW w:w="120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before="2" w:line="276" w:lineRule="auto"/>
              <w:ind w:left="150" w:right="138"/>
              <w:jc w:val="center"/>
              <w:rPr>
                <w:sz w:val="18"/>
              </w:rPr>
            </w:pPr>
            <w:r w:rsidRPr="00EF71EB">
              <w:rPr>
                <w:sz w:val="18"/>
              </w:rPr>
              <w:t>03</w:t>
            </w:r>
          </w:p>
        </w:tc>
        <w:tc>
          <w:tcPr>
            <w:tcW w:w="128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right"/>
              <w:rPr>
                <w:sz w:val="18"/>
              </w:rPr>
            </w:pPr>
            <w:r w:rsidRPr="00EF71EB">
              <w:rPr>
                <w:sz w:val="18"/>
              </w:rPr>
              <w:t>R$ 3.372,77</w:t>
            </w:r>
          </w:p>
        </w:tc>
        <w:tc>
          <w:tcPr>
            <w:tcW w:w="166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right"/>
              <w:rPr>
                <w:sz w:val="18"/>
              </w:rPr>
            </w:pPr>
            <w:r w:rsidRPr="00EF71EB">
              <w:rPr>
                <w:sz w:val="18"/>
              </w:rPr>
              <w:t>R$ 121.419,72</w:t>
            </w:r>
          </w:p>
        </w:tc>
      </w:tr>
      <w:tr w:rsidR="00EF71EB" w:rsidRPr="00EF71EB" w:rsidTr="00A900CB">
        <w:trPr>
          <w:jc w:val="center"/>
        </w:trPr>
        <w:tc>
          <w:tcPr>
            <w:tcW w:w="80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after="120" w:line="276" w:lineRule="auto"/>
              <w:jc w:val="center"/>
              <w:rPr>
                <w:sz w:val="18"/>
              </w:rPr>
            </w:pPr>
            <w:r w:rsidRPr="00EF71EB">
              <w:rPr>
                <w:sz w:val="18"/>
              </w:rPr>
              <w:t>9</w:t>
            </w:r>
          </w:p>
        </w:tc>
        <w:tc>
          <w:tcPr>
            <w:tcW w:w="432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before="106" w:line="276" w:lineRule="auto"/>
              <w:ind w:left="69"/>
              <w:jc w:val="both"/>
              <w:rPr>
                <w:sz w:val="18"/>
              </w:rPr>
            </w:pPr>
            <w:r w:rsidRPr="00EF71EB">
              <w:rPr>
                <w:i/>
                <w:sz w:val="18"/>
              </w:rPr>
              <w:t xml:space="preserve">PRESTAÇÃO DE SERVIÇOS DE APOIO ADMINISTRATIVO - Posto de serviços: </w:t>
            </w:r>
            <w:r w:rsidRPr="00EF71EB">
              <w:rPr>
                <w:b/>
                <w:i/>
                <w:sz w:val="18"/>
              </w:rPr>
              <w:t>ELETRICISTA DE INSTALAÇÕES (30% PERICULOSIDADE) - CBO 7156-15</w:t>
            </w:r>
            <w:r w:rsidRPr="00EF71EB">
              <w:rPr>
                <w:i/>
                <w:sz w:val="18"/>
              </w:rPr>
              <w:t>, em jornada semanal de 44 (quarenta e quatro) horas. CATSER - 5380</w:t>
            </w:r>
          </w:p>
        </w:tc>
        <w:tc>
          <w:tcPr>
            <w:tcW w:w="94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center"/>
              <w:rPr>
                <w:sz w:val="18"/>
              </w:rPr>
            </w:pPr>
            <w:r w:rsidRPr="00EF71EB">
              <w:rPr>
                <w:sz w:val="18"/>
              </w:rPr>
              <w:t>Posto</w:t>
            </w:r>
          </w:p>
        </w:tc>
        <w:tc>
          <w:tcPr>
            <w:tcW w:w="120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before="2" w:line="276" w:lineRule="auto"/>
              <w:ind w:left="150" w:right="138"/>
              <w:jc w:val="center"/>
              <w:rPr>
                <w:sz w:val="18"/>
              </w:rPr>
            </w:pPr>
            <w:r w:rsidRPr="00EF71EB">
              <w:rPr>
                <w:sz w:val="18"/>
              </w:rPr>
              <w:t>01</w:t>
            </w:r>
          </w:p>
        </w:tc>
        <w:tc>
          <w:tcPr>
            <w:tcW w:w="128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right"/>
              <w:rPr>
                <w:sz w:val="18"/>
              </w:rPr>
            </w:pPr>
            <w:r w:rsidRPr="00EF71EB">
              <w:rPr>
                <w:sz w:val="18"/>
              </w:rPr>
              <w:t>R$ 4.161,92</w:t>
            </w:r>
          </w:p>
        </w:tc>
        <w:tc>
          <w:tcPr>
            <w:tcW w:w="166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right"/>
              <w:rPr>
                <w:sz w:val="18"/>
              </w:rPr>
            </w:pPr>
            <w:r w:rsidRPr="00EF71EB">
              <w:rPr>
                <w:sz w:val="18"/>
              </w:rPr>
              <w:t>R$ 49.943,04</w:t>
            </w:r>
          </w:p>
        </w:tc>
      </w:tr>
      <w:tr w:rsidR="00EF71EB" w:rsidRPr="00EF71EB" w:rsidTr="00A900CB">
        <w:trPr>
          <w:trHeight w:val="1443"/>
          <w:jc w:val="center"/>
        </w:trPr>
        <w:tc>
          <w:tcPr>
            <w:tcW w:w="80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after="120" w:line="276" w:lineRule="auto"/>
              <w:jc w:val="center"/>
              <w:rPr>
                <w:sz w:val="18"/>
              </w:rPr>
            </w:pPr>
            <w:r w:rsidRPr="00EF71EB">
              <w:rPr>
                <w:sz w:val="18"/>
              </w:rPr>
              <w:t>10</w:t>
            </w:r>
          </w:p>
        </w:tc>
        <w:tc>
          <w:tcPr>
            <w:tcW w:w="432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before="106" w:line="276" w:lineRule="auto"/>
              <w:ind w:left="69"/>
              <w:jc w:val="both"/>
              <w:rPr>
                <w:sz w:val="18"/>
              </w:rPr>
            </w:pPr>
            <w:r w:rsidRPr="00EF71EB">
              <w:rPr>
                <w:i/>
                <w:sz w:val="18"/>
              </w:rPr>
              <w:t xml:space="preserve">PRESTAÇÃO DE SERVIÇOS DE APOIO ADMINISTRATIVO - Posto de serviços: </w:t>
            </w:r>
            <w:r w:rsidRPr="00EF71EB">
              <w:rPr>
                <w:b/>
                <w:i/>
                <w:sz w:val="18"/>
              </w:rPr>
              <w:t>TÉCNICO EM HIGIENE BUCAL - CBO 3224-05</w:t>
            </w:r>
            <w:r w:rsidRPr="00EF71EB">
              <w:rPr>
                <w:i/>
                <w:sz w:val="18"/>
              </w:rPr>
              <w:t>, em jornada semanal de 44 (quarenta e quatro) horas. CATSER - 5380</w:t>
            </w:r>
          </w:p>
        </w:tc>
        <w:tc>
          <w:tcPr>
            <w:tcW w:w="94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center"/>
              <w:rPr>
                <w:sz w:val="18"/>
              </w:rPr>
            </w:pPr>
            <w:r w:rsidRPr="00EF71EB">
              <w:rPr>
                <w:sz w:val="18"/>
              </w:rPr>
              <w:t>Posto</w:t>
            </w:r>
          </w:p>
        </w:tc>
        <w:tc>
          <w:tcPr>
            <w:tcW w:w="120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before="2" w:line="276" w:lineRule="auto"/>
              <w:ind w:left="150" w:right="138"/>
              <w:jc w:val="center"/>
              <w:rPr>
                <w:sz w:val="18"/>
              </w:rPr>
            </w:pPr>
            <w:r w:rsidRPr="00EF71EB">
              <w:rPr>
                <w:sz w:val="18"/>
              </w:rPr>
              <w:t>01</w:t>
            </w:r>
          </w:p>
        </w:tc>
        <w:tc>
          <w:tcPr>
            <w:tcW w:w="128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right"/>
              <w:rPr>
                <w:sz w:val="18"/>
              </w:rPr>
            </w:pPr>
            <w:r w:rsidRPr="00EF71EB">
              <w:rPr>
                <w:sz w:val="18"/>
              </w:rPr>
              <w:t>R$ 3.739,47</w:t>
            </w:r>
          </w:p>
        </w:tc>
        <w:tc>
          <w:tcPr>
            <w:tcW w:w="166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right"/>
              <w:rPr>
                <w:sz w:val="18"/>
              </w:rPr>
            </w:pPr>
            <w:r w:rsidRPr="00EF71EB">
              <w:rPr>
                <w:sz w:val="18"/>
              </w:rPr>
              <w:t>R$ 44.873,64</w:t>
            </w:r>
          </w:p>
        </w:tc>
      </w:tr>
      <w:tr w:rsidR="00EF71EB" w:rsidRPr="00EF71EB" w:rsidTr="00A900CB">
        <w:trPr>
          <w:trHeight w:val="200"/>
          <w:jc w:val="center"/>
        </w:trPr>
        <w:tc>
          <w:tcPr>
            <w:tcW w:w="8540" w:type="dxa"/>
            <w:gridSpan w:val="5"/>
            <w:tcBorders>
              <w:top w:val="single" w:sz="4" w:space="0" w:color="000000"/>
              <w:left w:val="single" w:sz="4" w:space="0" w:color="000000"/>
              <w:bottom w:val="single" w:sz="4" w:space="0" w:color="000000"/>
              <w:right w:val="single" w:sz="4" w:space="0" w:color="000000"/>
            </w:tcBorders>
            <w:shd w:val="clear" w:color="auto" w:fill="B7B7B7"/>
            <w:vAlign w:val="center"/>
          </w:tcPr>
          <w:p w:rsidR="00EF71EB" w:rsidRPr="00EF71EB" w:rsidRDefault="00EF71EB" w:rsidP="00A900CB">
            <w:pPr>
              <w:widowControl w:val="0"/>
              <w:spacing w:line="276" w:lineRule="auto"/>
              <w:jc w:val="right"/>
              <w:rPr>
                <w:sz w:val="18"/>
              </w:rPr>
            </w:pPr>
            <w:r w:rsidRPr="00EF71EB">
              <w:rPr>
                <w:b/>
                <w:sz w:val="18"/>
              </w:rPr>
              <w:t>VALOR TOTAL DO GRUPO</w:t>
            </w:r>
            <w:r w:rsidRPr="00EF71EB">
              <w:rPr>
                <w:sz w:val="18"/>
              </w:rPr>
              <w:t xml:space="preserve"> </w:t>
            </w:r>
          </w:p>
        </w:tc>
        <w:tc>
          <w:tcPr>
            <w:tcW w:w="1660" w:type="dxa"/>
            <w:tcBorders>
              <w:top w:val="single" w:sz="4" w:space="0" w:color="000000"/>
              <w:left w:val="single" w:sz="4" w:space="0" w:color="000000"/>
              <w:bottom w:val="single" w:sz="4" w:space="0" w:color="000000"/>
              <w:right w:val="single" w:sz="4" w:space="0" w:color="000000"/>
            </w:tcBorders>
            <w:shd w:val="clear" w:color="auto" w:fill="B7B7B7"/>
            <w:vAlign w:val="center"/>
          </w:tcPr>
          <w:p w:rsidR="00EF71EB" w:rsidRPr="00EF71EB" w:rsidRDefault="00EF71EB" w:rsidP="00A900CB">
            <w:pPr>
              <w:jc w:val="right"/>
              <w:rPr>
                <w:sz w:val="18"/>
              </w:rPr>
            </w:pPr>
            <w:r w:rsidRPr="00EF71EB">
              <w:rPr>
                <w:sz w:val="18"/>
              </w:rPr>
              <w:t>R$ 1.603.693,92</w:t>
            </w:r>
          </w:p>
        </w:tc>
      </w:tr>
      <w:tr w:rsidR="00EF71EB" w:rsidRPr="00EF71EB" w:rsidTr="00A900CB">
        <w:trPr>
          <w:trHeight w:val="200"/>
          <w:jc w:val="center"/>
        </w:trPr>
        <w:tc>
          <w:tcPr>
            <w:tcW w:w="10200" w:type="dxa"/>
            <w:gridSpan w:val="6"/>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line="276" w:lineRule="auto"/>
              <w:jc w:val="center"/>
              <w:rPr>
                <w:b/>
                <w:sz w:val="18"/>
              </w:rPr>
            </w:pPr>
            <w:r w:rsidRPr="00EF71EB">
              <w:rPr>
                <w:b/>
                <w:sz w:val="18"/>
              </w:rPr>
              <w:t>ÓRGÃOS PARTICIPANTES</w:t>
            </w:r>
          </w:p>
        </w:tc>
      </w:tr>
      <w:tr w:rsidR="00EF71EB" w:rsidRPr="00EF71EB" w:rsidTr="00A900CB">
        <w:trPr>
          <w:trHeight w:val="200"/>
          <w:jc w:val="center"/>
        </w:trPr>
        <w:tc>
          <w:tcPr>
            <w:tcW w:w="10200" w:type="dxa"/>
            <w:gridSpan w:val="6"/>
            <w:tcBorders>
              <w:top w:val="single" w:sz="4" w:space="0" w:color="000000"/>
              <w:left w:val="single" w:sz="4" w:space="0" w:color="000000"/>
              <w:bottom w:val="single" w:sz="4" w:space="0" w:color="000000"/>
              <w:right w:val="single" w:sz="4" w:space="0" w:color="000000"/>
            </w:tcBorders>
            <w:shd w:val="clear" w:color="auto" w:fill="B7B7B7"/>
            <w:vAlign w:val="center"/>
          </w:tcPr>
          <w:p w:rsidR="00EF71EB" w:rsidRPr="00EF71EB" w:rsidRDefault="00EF71EB" w:rsidP="00A900CB">
            <w:pPr>
              <w:widowControl w:val="0"/>
              <w:spacing w:line="276" w:lineRule="auto"/>
              <w:jc w:val="center"/>
              <w:rPr>
                <w:b/>
                <w:sz w:val="18"/>
              </w:rPr>
            </w:pPr>
            <w:r w:rsidRPr="00EF71EB">
              <w:rPr>
                <w:b/>
                <w:sz w:val="18"/>
              </w:rPr>
              <w:t>IFPB CAMPUS GUARABIRA</w:t>
            </w:r>
          </w:p>
        </w:tc>
      </w:tr>
      <w:tr w:rsidR="00EF71EB" w:rsidRPr="00EF71EB" w:rsidTr="00A900CB">
        <w:trPr>
          <w:trHeight w:val="200"/>
          <w:jc w:val="center"/>
        </w:trPr>
        <w:tc>
          <w:tcPr>
            <w:tcW w:w="10200" w:type="dxa"/>
            <w:gridSpan w:val="6"/>
            <w:tcBorders>
              <w:top w:val="single" w:sz="4" w:space="0" w:color="000000"/>
              <w:left w:val="single" w:sz="4" w:space="0" w:color="000000"/>
              <w:bottom w:val="single" w:sz="4" w:space="0" w:color="000000"/>
              <w:right w:val="single" w:sz="4" w:space="0" w:color="000000"/>
            </w:tcBorders>
            <w:shd w:val="clear" w:color="auto" w:fill="B7B7B7"/>
            <w:vAlign w:val="center"/>
          </w:tcPr>
          <w:p w:rsidR="00EF71EB" w:rsidRPr="00EF71EB" w:rsidRDefault="00EF71EB" w:rsidP="00A900CB">
            <w:pPr>
              <w:widowControl w:val="0"/>
              <w:spacing w:line="276" w:lineRule="auto"/>
              <w:jc w:val="center"/>
              <w:rPr>
                <w:b/>
                <w:sz w:val="18"/>
              </w:rPr>
            </w:pPr>
            <w:r w:rsidRPr="00EF71EB">
              <w:rPr>
                <w:b/>
                <w:sz w:val="18"/>
              </w:rPr>
              <w:t>GRUPO II</w:t>
            </w:r>
          </w:p>
        </w:tc>
      </w:tr>
      <w:tr w:rsidR="00EF71EB" w:rsidRPr="00EF71EB" w:rsidTr="00A900CB">
        <w:trPr>
          <w:jc w:val="center"/>
        </w:trPr>
        <w:tc>
          <w:tcPr>
            <w:tcW w:w="800" w:type="dxa"/>
            <w:tcBorders>
              <w:top w:val="single" w:sz="8" w:space="0" w:color="000000"/>
              <w:left w:val="single" w:sz="4" w:space="0" w:color="000000"/>
              <w:bottom w:val="single" w:sz="4" w:space="0" w:color="000000"/>
              <w:right w:val="single" w:sz="4" w:space="0" w:color="000000"/>
            </w:tcBorders>
            <w:shd w:val="clear" w:color="auto" w:fill="D9D9D9"/>
            <w:vAlign w:val="center"/>
          </w:tcPr>
          <w:p w:rsidR="00EF71EB" w:rsidRPr="00EF71EB" w:rsidRDefault="00EF71EB" w:rsidP="00A900CB">
            <w:pPr>
              <w:widowControl w:val="0"/>
              <w:jc w:val="center"/>
              <w:rPr>
                <w:sz w:val="18"/>
              </w:rPr>
            </w:pPr>
            <w:r w:rsidRPr="00EF71EB">
              <w:rPr>
                <w:sz w:val="18"/>
              </w:rPr>
              <w:t>ITEM</w:t>
            </w:r>
          </w:p>
          <w:p w:rsidR="00EF71EB" w:rsidRPr="00EF71EB" w:rsidRDefault="00EF71EB" w:rsidP="00A900CB">
            <w:pPr>
              <w:widowControl w:val="0"/>
              <w:jc w:val="center"/>
              <w:rPr>
                <w:sz w:val="18"/>
              </w:rPr>
            </w:pPr>
          </w:p>
        </w:tc>
        <w:tc>
          <w:tcPr>
            <w:tcW w:w="4320" w:type="dxa"/>
            <w:tcBorders>
              <w:top w:val="single" w:sz="8" w:space="0" w:color="000000"/>
              <w:left w:val="single" w:sz="4" w:space="0" w:color="000000"/>
              <w:bottom w:val="single" w:sz="4" w:space="0" w:color="000000"/>
              <w:right w:val="single" w:sz="4" w:space="0" w:color="000000"/>
            </w:tcBorders>
            <w:shd w:val="clear" w:color="auto" w:fill="D9D9D9"/>
            <w:vAlign w:val="center"/>
          </w:tcPr>
          <w:p w:rsidR="00EF71EB" w:rsidRPr="00EF71EB" w:rsidRDefault="00EF71EB" w:rsidP="00A900CB">
            <w:pPr>
              <w:jc w:val="center"/>
              <w:rPr>
                <w:sz w:val="18"/>
              </w:rPr>
            </w:pPr>
            <w:r w:rsidRPr="00EF71EB">
              <w:rPr>
                <w:sz w:val="18"/>
              </w:rPr>
              <w:t>DESCRIÇÃO/</w:t>
            </w:r>
          </w:p>
          <w:p w:rsidR="00EF71EB" w:rsidRPr="00EF71EB" w:rsidRDefault="00EF71EB" w:rsidP="00A900CB">
            <w:pPr>
              <w:widowControl w:val="0"/>
              <w:jc w:val="center"/>
              <w:rPr>
                <w:sz w:val="18"/>
              </w:rPr>
            </w:pPr>
            <w:r w:rsidRPr="00EF71EB">
              <w:rPr>
                <w:sz w:val="18"/>
              </w:rPr>
              <w:t>ESPECIFICAÇÃO</w:t>
            </w:r>
          </w:p>
        </w:tc>
        <w:tc>
          <w:tcPr>
            <w:tcW w:w="940" w:type="dxa"/>
            <w:tcBorders>
              <w:top w:val="single" w:sz="8" w:space="0" w:color="000000"/>
              <w:left w:val="single" w:sz="4" w:space="0" w:color="000000"/>
              <w:bottom w:val="single" w:sz="4" w:space="0" w:color="000000"/>
              <w:right w:val="single" w:sz="4" w:space="0" w:color="000000"/>
            </w:tcBorders>
            <w:shd w:val="clear" w:color="auto" w:fill="D9D9D9"/>
            <w:vAlign w:val="center"/>
          </w:tcPr>
          <w:p w:rsidR="00EF71EB" w:rsidRPr="00EF71EB" w:rsidRDefault="00EF71EB" w:rsidP="00A900CB">
            <w:pPr>
              <w:jc w:val="center"/>
              <w:rPr>
                <w:sz w:val="18"/>
              </w:rPr>
            </w:pPr>
            <w:r w:rsidRPr="00EF71EB">
              <w:rPr>
                <w:sz w:val="18"/>
              </w:rPr>
              <w:t>Unidade de Medida</w:t>
            </w:r>
          </w:p>
        </w:tc>
        <w:tc>
          <w:tcPr>
            <w:tcW w:w="1200" w:type="dxa"/>
            <w:tcBorders>
              <w:top w:val="single" w:sz="8" w:space="0" w:color="000000"/>
              <w:left w:val="single" w:sz="4" w:space="0" w:color="000000"/>
              <w:bottom w:val="single" w:sz="4" w:space="0" w:color="000000"/>
              <w:right w:val="single" w:sz="4" w:space="0" w:color="000000"/>
            </w:tcBorders>
            <w:shd w:val="clear" w:color="auto" w:fill="D9D9D9"/>
            <w:vAlign w:val="center"/>
          </w:tcPr>
          <w:p w:rsidR="00EF71EB" w:rsidRPr="00EF71EB" w:rsidRDefault="00EF71EB" w:rsidP="00A900CB">
            <w:pPr>
              <w:widowControl w:val="0"/>
              <w:jc w:val="center"/>
              <w:rPr>
                <w:sz w:val="18"/>
              </w:rPr>
            </w:pPr>
            <w:r w:rsidRPr="00EF71EB">
              <w:rPr>
                <w:sz w:val="18"/>
              </w:rPr>
              <w:t>Quantidade</w:t>
            </w:r>
          </w:p>
        </w:tc>
        <w:tc>
          <w:tcPr>
            <w:tcW w:w="1280" w:type="dxa"/>
            <w:tcBorders>
              <w:top w:val="single" w:sz="8" w:space="0" w:color="000000"/>
              <w:left w:val="single" w:sz="4" w:space="0" w:color="000000"/>
              <w:bottom w:val="single" w:sz="4" w:space="0" w:color="000000"/>
              <w:right w:val="single" w:sz="4" w:space="0" w:color="000000"/>
            </w:tcBorders>
            <w:shd w:val="clear" w:color="auto" w:fill="D9D9D9"/>
            <w:vAlign w:val="center"/>
          </w:tcPr>
          <w:p w:rsidR="00EF71EB" w:rsidRPr="00EF71EB" w:rsidRDefault="00EF71EB" w:rsidP="00A900CB">
            <w:pPr>
              <w:jc w:val="center"/>
              <w:rPr>
                <w:sz w:val="18"/>
              </w:rPr>
            </w:pPr>
            <w:r w:rsidRPr="00EF71EB">
              <w:rPr>
                <w:sz w:val="18"/>
              </w:rPr>
              <w:t>Valor Unitário Máximo Aceitável (R$)</w:t>
            </w:r>
          </w:p>
        </w:tc>
        <w:tc>
          <w:tcPr>
            <w:tcW w:w="1660" w:type="dxa"/>
            <w:tcBorders>
              <w:top w:val="single" w:sz="8" w:space="0" w:color="000000"/>
              <w:left w:val="single" w:sz="4" w:space="0" w:color="000000"/>
              <w:bottom w:val="single" w:sz="4" w:space="0" w:color="000000"/>
              <w:right w:val="single" w:sz="4" w:space="0" w:color="000000"/>
            </w:tcBorders>
            <w:shd w:val="clear" w:color="auto" w:fill="D9D9D9"/>
          </w:tcPr>
          <w:p w:rsidR="00EF71EB" w:rsidRPr="00EF71EB" w:rsidRDefault="00EF71EB" w:rsidP="00A900CB">
            <w:pPr>
              <w:jc w:val="center"/>
              <w:rPr>
                <w:sz w:val="18"/>
              </w:rPr>
            </w:pPr>
            <w:r w:rsidRPr="00EF71EB">
              <w:rPr>
                <w:sz w:val="18"/>
              </w:rPr>
              <w:t>Valor Total Global Máximo Aceitável (R$)</w:t>
            </w:r>
          </w:p>
        </w:tc>
      </w:tr>
      <w:tr w:rsidR="00EF71EB" w:rsidRPr="00EF71EB" w:rsidTr="00A900CB">
        <w:trPr>
          <w:jc w:val="center"/>
        </w:trPr>
        <w:tc>
          <w:tcPr>
            <w:tcW w:w="80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after="120" w:line="276" w:lineRule="auto"/>
              <w:jc w:val="center"/>
              <w:rPr>
                <w:sz w:val="18"/>
              </w:rPr>
            </w:pPr>
            <w:r w:rsidRPr="00EF71EB">
              <w:rPr>
                <w:sz w:val="18"/>
              </w:rPr>
              <w:t>1</w:t>
            </w:r>
          </w:p>
        </w:tc>
        <w:tc>
          <w:tcPr>
            <w:tcW w:w="432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before="106" w:line="276" w:lineRule="auto"/>
              <w:ind w:left="69"/>
              <w:jc w:val="both"/>
              <w:rPr>
                <w:sz w:val="18"/>
              </w:rPr>
            </w:pPr>
            <w:r w:rsidRPr="00EF71EB">
              <w:rPr>
                <w:i/>
                <w:sz w:val="18"/>
              </w:rPr>
              <w:t xml:space="preserve">PRESTAÇÃO DE SERVIÇOS DE APOIO ADMINISTRATIVO - Posto de serviços: </w:t>
            </w:r>
            <w:r w:rsidRPr="00EF71EB">
              <w:rPr>
                <w:b/>
                <w:i/>
                <w:sz w:val="18"/>
              </w:rPr>
              <w:t>RECEPCIONISTA - CBO 4221</w:t>
            </w:r>
            <w:r w:rsidRPr="00EF71EB">
              <w:rPr>
                <w:i/>
                <w:sz w:val="18"/>
              </w:rPr>
              <w:t>, em jornada semanal de 44 (quarenta e quatro) horas. CATSER - 5380</w:t>
            </w:r>
          </w:p>
        </w:tc>
        <w:tc>
          <w:tcPr>
            <w:tcW w:w="94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center"/>
              <w:rPr>
                <w:sz w:val="18"/>
              </w:rPr>
            </w:pPr>
            <w:r w:rsidRPr="00EF71EB">
              <w:rPr>
                <w:sz w:val="18"/>
              </w:rPr>
              <w:t>Posto</w:t>
            </w:r>
          </w:p>
        </w:tc>
        <w:tc>
          <w:tcPr>
            <w:tcW w:w="120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before="2" w:line="276" w:lineRule="auto"/>
              <w:ind w:left="150" w:right="138"/>
              <w:jc w:val="center"/>
              <w:rPr>
                <w:sz w:val="18"/>
              </w:rPr>
            </w:pPr>
            <w:r w:rsidRPr="00EF71EB">
              <w:rPr>
                <w:sz w:val="18"/>
              </w:rPr>
              <w:t>02</w:t>
            </w:r>
          </w:p>
        </w:tc>
        <w:tc>
          <w:tcPr>
            <w:tcW w:w="128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right"/>
              <w:rPr>
                <w:sz w:val="18"/>
              </w:rPr>
            </w:pPr>
            <w:r w:rsidRPr="00EF71EB">
              <w:rPr>
                <w:sz w:val="18"/>
              </w:rPr>
              <w:t>R$ 2.682,17</w:t>
            </w:r>
          </w:p>
        </w:tc>
        <w:tc>
          <w:tcPr>
            <w:tcW w:w="166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right"/>
              <w:rPr>
                <w:sz w:val="18"/>
              </w:rPr>
            </w:pPr>
            <w:r w:rsidRPr="00EF71EB">
              <w:rPr>
                <w:sz w:val="18"/>
              </w:rPr>
              <w:t>64.372,08</w:t>
            </w:r>
          </w:p>
        </w:tc>
      </w:tr>
      <w:tr w:rsidR="00EF71EB" w:rsidRPr="00EF71EB" w:rsidTr="00A900CB">
        <w:trPr>
          <w:jc w:val="center"/>
        </w:trPr>
        <w:tc>
          <w:tcPr>
            <w:tcW w:w="80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after="120" w:line="276" w:lineRule="auto"/>
              <w:jc w:val="center"/>
              <w:rPr>
                <w:sz w:val="18"/>
              </w:rPr>
            </w:pPr>
            <w:r w:rsidRPr="00EF71EB">
              <w:rPr>
                <w:sz w:val="18"/>
              </w:rPr>
              <w:t>2</w:t>
            </w:r>
          </w:p>
        </w:tc>
        <w:tc>
          <w:tcPr>
            <w:tcW w:w="432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before="106" w:line="276" w:lineRule="auto"/>
              <w:ind w:left="69"/>
              <w:jc w:val="both"/>
              <w:rPr>
                <w:sz w:val="18"/>
              </w:rPr>
            </w:pPr>
            <w:r w:rsidRPr="00EF71EB">
              <w:rPr>
                <w:i/>
                <w:sz w:val="18"/>
              </w:rPr>
              <w:t xml:space="preserve">PRESTAÇÃO DE SERVIÇOS DE APOIO ADMINISTRATIVO - Posto de serviços: </w:t>
            </w:r>
            <w:r w:rsidRPr="00EF71EB">
              <w:rPr>
                <w:b/>
                <w:i/>
                <w:sz w:val="18"/>
              </w:rPr>
              <w:t>COPEIRO - CBO 5134-25</w:t>
            </w:r>
            <w:r w:rsidRPr="00EF71EB">
              <w:rPr>
                <w:i/>
                <w:sz w:val="18"/>
              </w:rPr>
              <w:t>, em jornada semanal de 44 (quarenta e quatro) horas. CATSER - 5380</w:t>
            </w:r>
          </w:p>
        </w:tc>
        <w:tc>
          <w:tcPr>
            <w:tcW w:w="94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center"/>
              <w:rPr>
                <w:sz w:val="18"/>
              </w:rPr>
            </w:pPr>
            <w:r w:rsidRPr="00EF71EB">
              <w:rPr>
                <w:sz w:val="18"/>
              </w:rPr>
              <w:t>Posto</w:t>
            </w:r>
          </w:p>
        </w:tc>
        <w:tc>
          <w:tcPr>
            <w:tcW w:w="120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widowControl w:val="0"/>
              <w:spacing w:before="2" w:line="276" w:lineRule="auto"/>
              <w:ind w:left="150" w:right="138"/>
              <w:jc w:val="center"/>
              <w:rPr>
                <w:sz w:val="18"/>
              </w:rPr>
            </w:pPr>
            <w:r w:rsidRPr="00EF71EB">
              <w:rPr>
                <w:sz w:val="18"/>
              </w:rPr>
              <w:t>01</w:t>
            </w:r>
          </w:p>
        </w:tc>
        <w:tc>
          <w:tcPr>
            <w:tcW w:w="128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right"/>
              <w:rPr>
                <w:sz w:val="18"/>
              </w:rPr>
            </w:pPr>
            <w:r w:rsidRPr="00EF71EB">
              <w:rPr>
                <w:sz w:val="18"/>
              </w:rPr>
              <w:t>R$ 2.685,80</w:t>
            </w:r>
          </w:p>
        </w:tc>
        <w:tc>
          <w:tcPr>
            <w:tcW w:w="1660" w:type="dxa"/>
            <w:tcBorders>
              <w:top w:val="single" w:sz="4" w:space="0" w:color="000000"/>
              <w:left w:val="single" w:sz="4" w:space="0" w:color="000000"/>
              <w:bottom w:val="single" w:sz="4" w:space="0" w:color="000000"/>
              <w:right w:val="single" w:sz="4" w:space="0" w:color="000000"/>
            </w:tcBorders>
            <w:vAlign w:val="center"/>
          </w:tcPr>
          <w:p w:rsidR="00EF71EB" w:rsidRPr="00EF71EB" w:rsidRDefault="00EF71EB" w:rsidP="00A900CB">
            <w:pPr>
              <w:jc w:val="right"/>
              <w:rPr>
                <w:sz w:val="18"/>
              </w:rPr>
            </w:pPr>
            <w:r w:rsidRPr="00EF71EB">
              <w:rPr>
                <w:sz w:val="18"/>
              </w:rPr>
              <w:t>32.299,60</w:t>
            </w:r>
          </w:p>
        </w:tc>
      </w:tr>
      <w:tr w:rsidR="00EF71EB" w:rsidRPr="00EF71EB" w:rsidTr="00A900CB">
        <w:trPr>
          <w:jc w:val="center"/>
        </w:trPr>
        <w:tc>
          <w:tcPr>
            <w:tcW w:w="8540" w:type="dxa"/>
            <w:gridSpan w:val="5"/>
            <w:tcBorders>
              <w:top w:val="single" w:sz="4" w:space="0" w:color="000000"/>
              <w:left w:val="single" w:sz="4" w:space="0" w:color="000000"/>
              <w:bottom w:val="single" w:sz="4" w:space="0" w:color="000000"/>
              <w:right w:val="single" w:sz="4" w:space="0" w:color="000000"/>
            </w:tcBorders>
            <w:shd w:val="clear" w:color="auto" w:fill="B7B7B7"/>
            <w:vAlign w:val="center"/>
          </w:tcPr>
          <w:p w:rsidR="00EF71EB" w:rsidRPr="00EF71EB" w:rsidRDefault="00EF71EB" w:rsidP="00A900CB">
            <w:pPr>
              <w:widowControl w:val="0"/>
              <w:spacing w:line="276" w:lineRule="auto"/>
              <w:jc w:val="right"/>
              <w:rPr>
                <w:sz w:val="18"/>
              </w:rPr>
            </w:pPr>
            <w:r w:rsidRPr="00EF71EB">
              <w:rPr>
                <w:b/>
                <w:sz w:val="18"/>
              </w:rPr>
              <w:t>VALOR TOTAL DO GRUPO</w:t>
            </w:r>
            <w:r w:rsidRPr="00EF71EB">
              <w:rPr>
                <w:sz w:val="18"/>
              </w:rPr>
              <w:t xml:space="preserve"> </w:t>
            </w:r>
          </w:p>
        </w:tc>
        <w:tc>
          <w:tcPr>
            <w:tcW w:w="1660" w:type="dxa"/>
            <w:tcBorders>
              <w:top w:val="single" w:sz="4" w:space="0" w:color="000000"/>
              <w:left w:val="single" w:sz="4" w:space="0" w:color="000000"/>
              <w:bottom w:val="single" w:sz="4" w:space="0" w:color="000000"/>
              <w:right w:val="single" w:sz="4" w:space="0" w:color="000000"/>
            </w:tcBorders>
            <w:shd w:val="clear" w:color="auto" w:fill="B7B7B7"/>
            <w:vAlign w:val="center"/>
          </w:tcPr>
          <w:p w:rsidR="00EF71EB" w:rsidRPr="00EF71EB" w:rsidRDefault="00EF71EB" w:rsidP="00A900CB">
            <w:pPr>
              <w:jc w:val="right"/>
              <w:rPr>
                <w:b/>
                <w:sz w:val="18"/>
              </w:rPr>
            </w:pPr>
            <w:r w:rsidRPr="00EF71EB">
              <w:rPr>
                <w:b/>
                <w:sz w:val="18"/>
              </w:rPr>
              <w:t>R$ 96.601,68</w:t>
            </w:r>
          </w:p>
        </w:tc>
      </w:tr>
    </w:tbl>
    <w:p w:rsidR="00EF71EB" w:rsidRDefault="00EF71EB" w:rsidP="00EF71EB">
      <w:pPr>
        <w:spacing w:after="120" w:line="276" w:lineRule="auto"/>
        <w:jc w:val="both"/>
      </w:pPr>
    </w:p>
    <w:p w:rsidR="00EF71EB" w:rsidRDefault="00EF71EB" w:rsidP="00EF71EB">
      <w:pPr>
        <w:spacing w:line="276" w:lineRule="auto"/>
        <w:jc w:val="center"/>
      </w:pPr>
    </w:p>
    <w:p w:rsidR="00EF71EB" w:rsidRDefault="00EF71EB" w:rsidP="00EF71EB">
      <w:pPr>
        <w:spacing w:after="120" w:line="276" w:lineRule="auto"/>
        <w:ind w:right="-15"/>
        <w:jc w:val="both"/>
        <w:rPr>
          <w:b/>
        </w:rPr>
      </w:pPr>
    </w:p>
    <w:p w:rsidR="00EF71EB" w:rsidRDefault="00EF71EB" w:rsidP="00EF71EB">
      <w:pPr>
        <w:spacing w:after="120" w:line="276" w:lineRule="auto"/>
        <w:ind w:right="-15"/>
        <w:jc w:val="both"/>
        <w:rPr>
          <w:b/>
        </w:rPr>
      </w:pPr>
    </w:p>
    <w:p w:rsidR="00EF71EB" w:rsidRDefault="00EF71EB" w:rsidP="00EF71EB">
      <w:pPr>
        <w:spacing w:after="120" w:line="276" w:lineRule="auto"/>
        <w:ind w:right="-15"/>
        <w:jc w:val="both"/>
        <w:rPr>
          <w:b/>
        </w:rPr>
      </w:pPr>
    </w:p>
    <w:p w:rsidR="00EF71EB" w:rsidRDefault="00EF71EB" w:rsidP="00EF71EB">
      <w:pPr>
        <w:spacing w:after="120" w:line="276" w:lineRule="auto"/>
        <w:ind w:right="-15"/>
        <w:jc w:val="both"/>
        <w:rPr>
          <w:b/>
        </w:rPr>
      </w:pPr>
    </w:p>
    <w:p w:rsidR="00EF71EB" w:rsidRDefault="00EF71EB" w:rsidP="00EF71EB">
      <w:pPr>
        <w:spacing w:after="120" w:line="276" w:lineRule="auto"/>
        <w:ind w:right="-15"/>
        <w:jc w:val="both"/>
        <w:rPr>
          <w:b/>
        </w:rPr>
      </w:pPr>
    </w:p>
    <w:p w:rsidR="00EF71EB" w:rsidRDefault="00EF71EB" w:rsidP="00EF71EB">
      <w:pPr>
        <w:spacing w:after="120" w:line="276" w:lineRule="auto"/>
        <w:ind w:right="-15"/>
        <w:jc w:val="both"/>
        <w:rPr>
          <w:b/>
        </w:rPr>
      </w:pPr>
    </w:p>
    <w:p w:rsidR="00EF71EB" w:rsidRDefault="00EF71EB" w:rsidP="00EF71EB">
      <w:pPr>
        <w:spacing w:line="276" w:lineRule="auto"/>
        <w:jc w:val="center"/>
      </w:pPr>
      <w:r>
        <w:lastRenderedPageBreak/>
        <w:t>INSTITUTO FEDERAL DA PARAÍBA - CAMPUS JOÃO PESSOA</w:t>
      </w:r>
    </w:p>
    <w:p w:rsidR="00EF71EB" w:rsidRDefault="00EF71EB" w:rsidP="00EF71EB">
      <w:pPr>
        <w:spacing w:line="276" w:lineRule="auto"/>
        <w:jc w:val="center"/>
        <w:rPr>
          <w:b/>
          <w:color w:val="000000"/>
        </w:rPr>
      </w:pPr>
      <w:r>
        <w:rPr>
          <w:b/>
          <w:color w:val="000000"/>
        </w:rPr>
        <w:t xml:space="preserve">PREGÃO ELETRÔNICO Nº </w:t>
      </w:r>
      <w:r>
        <w:rPr>
          <w:b/>
        </w:rPr>
        <w:t>03</w:t>
      </w:r>
      <w:r>
        <w:rPr>
          <w:b/>
          <w:color w:val="000000"/>
        </w:rPr>
        <w:t>/20</w:t>
      </w:r>
      <w:r>
        <w:rPr>
          <w:b/>
        </w:rPr>
        <w:t>21</w:t>
      </w:r>
    </w:p>
    <w:p w:rsidR="00EF71EB" w:rsidRDefault="00EF71EB" w:rsidP="00EF71EB">
      <w:pPr>
        <w:spacing w:line="276" w:lineRule="auto"/>
        <w:jc w:val="center"/>
        <w:rPr>
          <w:b/>
          <w:color w:val="000000"/>
        </w:rPr>
      </w:pPr>
      <w:r>
        <w:rPr>
          <w:b/>
          <w:color w:val="000000"/>
        </w:rPr>
        <w:t xml:space="preserve">(Processo Administrativo n.° </w:t>
      </w:r>
      <w:r>
        <w:rPr>
          <w:b/>
        </w:rPr>
        <w:t>23326.000643.2021-19</w:t>
      </w:r>
      <w:r>
        <w:rPr>
          <w:b/>
          <w:color w:val="000000"/>
        </w:rPr>
        <w:t>)</w:t>
      </w:r>
    </w:p>
    <w:p w:rsidR="00EF71EB" w:rsidRDefault="00EF71EB" w:rsidP="00EF71EB">
      <w:pPr>
        <w:spacing w:after="120" w:line="276" w:lineRule="auto"/>
        <w:ind w:right="-15"/>
        <w:jc w:val="both"/>
        <w:rPr>
          <w:color w:val="000000"/>
        </w:rPr>
      </w:pPr>
    </w:p>
    <w:p w:rsidR="00EF71EB" w:rsidRDefault="00EF71EB" w:rsidP="00EF71EB">
      <w:pPr>
        <w:spacing w:after="120" w:line="276" w:lineRule="auto"/>
        <w:ind w:right="-17"/>
        <w:jc w:val="both"/>
        <w:rPr>
          <w:b/>
          <w:color w:val="000000"/>
        </w:rPr>
      </w:pPr>
    </w:p>
    <w:p w:rsidR="00EF71EB" w:rsidRDefault="00EF71EB" w:rsidP="00EF71EB">
      <w:pPr>
        <w:spacing w:after="120" w:line="276" w:lineRule="auto"/>
        <w:ind w:right="-30" w:firstLine="540"/>
        <w:jc w:val="both"/>
        <w:rPr>
          <w:color w:val="000000"/>
        </w:rPr>
      </w:pPr>
      <w:bookmarkStart w:id="0" w:name="_heading=h.gjdgxs" w:colFirst="0" w:colLast="0"/>
      <w:bookmarkEnd w:id="0"/>
      <w:r>
        <w:rPr>
          <w:color w:val="000000"/>
        </w:rPr>
        <w:t xml:space="preserve">Torna-se público que o Instituto Federal da Paraíba – Campus João Pessoa, por meio da </w:t>
      </w:r>
      <w:r>
        <w:t>Coordenação de Compras e Licitações</w:t>
      </w:r>
      <w:r>
        <w:rPr>
          <w:color w:val="000000"/>
        </w:rPr>
        <w:t xml:space="preserve">, sediado à Av. Primeiro de Maio, 720, Jaguaribe, João Pessoa, Paraíba, realizará </w:t>
      </w:r>
      <w:r>
        <w:t xml:space="preserve">licitação na modalidade </w:t>
      </w:r>
      <w:r>
        <w:rPr>
          <w:b/>
        </w:rPr>
        <w:t>PREGÃO, na forma ELETRÔNICA</w:t>
      </w:r>
      <w:r>
        <w:t xml:space="preserve">, com critério de julgamento </w:t>
      </w:r>
      <w:r>
        <w:rPr>
          <w:b/>
        </w:rPr>
        <w:t>menor preço</w:t>
      </w:r>
      <w:r>
        <w:t xml:space="preserve"> por grupo, sob a forma de execução indireta, no regime de empreitada por </w:t>
      </w:r>
      <w:r>
        <w:rPr>
          <w:b/>
        </w:rPr>
        <w:t xml:space="preserve">PREÇO UNITÁRIO </w:t>
      </w:r>
      <w:r>
        <w:t>nos termos da Lei nº 10.520, de 17 de julho de 2002, do Decreto nº 10.024, de 20 de setembro de 2019, do Decreto 9.507, de 21 de setembro de 2018, do Decreto nº 7.746, de 05 de junho de 2012, das Instruções Normativas SEGES/MP nº 05, de 26 de maio de 2017 e nº 03, de 26 de abril de 2018 e da Instrução Normativa SLTI/MP nº 01, de 19 de janeiro de 2010, da Lei Complementar n° 123, de 14 de dezembro de 2006, da Lei nº 11.488, de 15 de junho de 2007, do Decreto n° 8.538, de 06 de outubro de 2015, aplicando-se, subsidiariamente, a Lei nº 8.666, de 21 de junho de 1993 e as exigências estabelecidas neste Edital.</w:t>
      </w:r>
    </w:p>
    <w:p w:rsidR="00EF71EB" w:rsidRDefault="00EF71EB" w:rsidP="00EF71EB">
      <w:pPr>
        <w:spacing w:line="276" w:lineRule="auto"/>
        <w:jc w:val="both"/>
        <w:rPr>
          <w:b/>
        </w:rPr>
      </w:pPr>
      <w:r>
        <w:rPr>
          <w:b/>
          <w:color w:val="000000"/>
        </w:rPr>
        <w:t>Data da sessão: 19/04/2021</w:t>
      </w:r>
    </w:p>
    <w:p w:rsidR="00EF71EB" w:rsidRDefault="00EF71EB" w:rsidP="00EF71EB">
      <w:pPr>
        <w:spacing w:line="276" w:lineRule="auto"/>
        <w:jc w:val="both"/>
        <w:rPr>
          <w:b/>
        </w:rPr>
      </w:pPr>
      <w:r>
        <w:rPr>
          <w:b/>
          <w:color w:val="000000"/>
        </w:rPr>
        <w:t>Horário: 09:30h (Horário de Brasília)</w:t>
      </w:r>
    </w:p>
    <w:p w:rsidR="00EF71EB" w:rsidRDefault="00EF71EB" w:rsidP="00EF71EB">
      <w:pPr>
        <w:spacing w:after="120" w:line="276" w:lineRule="auto"/>
        <w:ind w:right="-15"/>
        <w:jc w:val="both"/>
        <w:rPr>
          <w:b/>
          <w:color w:val="000000"/>
        </w:rPr>
      </w:pPr>
      <w:r>
        <w:rPr>
          <w:b/>
          <w:color w:val="000000"/>
        </w:rPr>
        <w:t>Local: Portal de Compras do Governo Federal – www.comprasgovernamentais.gov.br</w:t>
      </w:r>
    </w:p>
    <w:p w:rsidR="00EF71EB" w:rsidRDefault="00EF71EB" w:rsidP="00EF71EB">
      <w:pPr>
        <w:spacing w:after="120" w:line="276" w:lineRule="auto"/>
        <w:ind w:right="-30" w:firstLine="540"/>
        <w:jc w:val="both"/>
        <w:rPr>
          <w:color w:val="000000"/>
        </w:rPr>
      </w:pPr>
    </w:p>
    <w:p w:rsidR="00EF71EB" w:rsidRDefault="00EF71EB" w:rsidP="009D75B9">
      <w:pPr>
        <w:keepNext/>
        <w:keepLines/>
        <w:numPr>
          <w:ilvl w:val="0"/>
          <w:numId w:val="13"/>
        </w:numPr>
        <w:pBdr>
          <w:top w:val="nil"/>
          <w:left w:val="nil"/>
          <w:bottom w:val="nil"/>
          <w:right w:val="nil"/>
          <w:between w:val="nil"/>
        </w:pBdr>
        <w:spacing w:before="480" w:after="120" w:line="276" w:lineRule="auto"/>
        <w:ind w:right="-15"/>
        <w:jc w:val="both"/>
      </w:pPr>
      <w:r>
        <w:rPr>
          <w:rFonts w:eastAsia="Arial" w:cs="Arial"/>
          <w:b/>
          <w:color w:val="000000"/>
          <w:szCs w:val="20"/>
        </w:rPr>
        <w:t>DO OBJETO</w:t>
      </w:r>
    </w:p>
    <w:p w:rsidR="00EF71EB" w:rsidRDefault="00EF71EB" w:rsidP="009D75B9">
      <w:pPr>
        <w:numPr>
          <w:ilvl w:val="1"/>
          <w:numId w:val="17"/>
        </w:numPr>
        <w:pBdr>
          <w:top w:val="nil"/>
          <w:left w:val="nil"/>
          <w:bottom w:val="nil"/>
          <w:right w:val="nil"/>
          <w:between w:val="nil"/>
        </w:pBdr>
        <w:spacing w:before="120" w:after="120" w:line="276" w:lineRule="auto"/>
        <w:jc w:val="both"/>
        <w:rPr>
          <w:rFonts w:cs="Arial"/>
          <w:color w:val="000000"/>
          <w:szCs w:val="20"/>
        </w:rPr>
      </w:pPr>
      <w:r>
        <w:rPr>
          <w:rFonts w:eastAsia="Arial" w:cs="Arial"/>
          <w:color w:val="000000"/>
          <w:szCs w:val="20"/>
        </w:rPr>
        <w:t>O objeto da presente licitação é a escolha da proposta mais vantajosa para a contratação de empresa especializada na prestação de serviços de locação de mão de obra terceirizada (apoio administrativo), conforme condições, quantidades e exigências estabelecidas neste Edital e seus anexos.</w:t>
      </w:r>
    </w:p>
    <w:p w:rsidR="00EF71EB" w:rsidRDefault="00EF71EB" w:rsidP="009D75B9">
      <w:pPr>
        <w:numPr>
          <w:ilvl w:val="1"/>
          <w:numId w:val="17"/>
        </w:numPr>
        <w:spacing w:before="240" w:after="240" w:line="276" w:lineRule="auto"/>
        <w:jc w:val="both"/>
      </w:pPr>
      <w:r>
        <w:t>A licitação será dividida em grupos, formados por um ou mais itens, conforme tabela constante do Termo de Referência, facultando-se ao licitante a participação em quantos grupos forem de seu interesse, devendo oferecer proposta para todos os itens que os compõem.</w:t>
      </w:r>
    </w:p>
    <w:p w:rsidR="00EF71EB" w:rsidRDefault="00EF71EB" w:rsidP="009D75B9">
      <w:pPr>
        <w:numPr>
          <w:ilvl w:val="1"/>
          <w:numId w:val="17"/>
        </w:numPr>
        <w:spacing w:before="240" w:after="240" w:line="276" w:lineRule="auto"/>
        <w:jc w:val="both"/>
      </w:pPr>
      <w:r>
        <w:t>1.3. O critério de julgamento adotado será o menor preço GLOBAL do grupo, observadas as exigências contidas neste Edital e seus Anexos quanto às especificações do objeto.</w:t>
      </w:r>
    </w:p>
    <w:p w:rsidR="00EF71EB" w:rsidRDefault="00EF71EB" w:rsidP="009D75B9">
      <w:pPr>
        <w:keepNext/>
        <w:keepLines/>
        <w:numPr>
          <w:ilvl w:val="0"/>
          <w:numId w:val="13"/>
        </w:numPr>
        <w:pBdr>
          <w:top w:val="nil"/>
          <w:left w:val="nil"/>
          <w:bottom w:val="nil"/>
          <w:right w:val="nil"/>
          <w:between w:val="nil"/>
        </w:pBdr>
        <w:spacing w:before="480" w:after="120" w:line="276" w:lineRule="auto"/>
        <w:ind w:right="-15"/>
        <w:jc w:val="both"/>
      </w:pPr>
      <w:r>
        <w:rPr>
          <w:b/>
        </w:rPr>
        <w:t>DOS RECURSOS ORÇAMENTÁRIOS</w:t>
      </w:r>
    </w:p>
    <w:p w:rsidR="00EF71EB" w:rsidRDefault="00EF71EB" w:rsidP="009D75B9">
      <w:pPr>
        <w:numPr>
          <w:ilvl w:val="1"/>
          <w:numId w:val="18"/>
        </w:numPr>
        <w:spacing w:before="120" w:after="120" w:line="276" w:lineRule="auto"/>
        <w:jc w:val="both"/>
      </w:pPr>
      <w:r>
        <w:t>As despesas para atender a esta licitação estão programadas em dotação orçamentária própria, prevista no orçamento da União para o exercício de 2021, na classificação abaixo:</w:t>
      </w:r>
    </w:p>
    <w:p w:rsidR="00EF71EB" w:rsidRDefault="00EF71EB" w:rsidP="009D75B9">
      <w:pPr>
        <w:numPr>
          <w:ilvl w:val="2"/>
          <w:numId w:val="18"/>
        </w:numPr>
        <w:spacing w:before="120" w:after="120" w:line="276" w:lineRule="auto"/>
        <w:jc w:val="both"/>
      </w:pPr>
      <w:r>
        <w:t>Campus João Pessoa</w:t>
      </w:r>
    </w:p>
    <w:p w:rsidR="00EF71EB" w:rsidRDefault="00EF71EB" w:rsidP="00EF71EB">
      <w:pPr>
        <w:spacing w:before="120" w:after="120" w:line="276" w:lineRule="auto"/>
        <w:ind w:left="1134" w:firstLine="305"/>
        <w:jc w:val="both"/>
      </w:pPr>
      <w:r>
        <w:lastRenderedPageBreak/>
        <w:t>Gestão/Unidade: 26417/158469</w:t>
      </w:r>
    </w:p>
    <w:p w:rsidR="00EF71EB" w:rsidRDefault="00EF71EB" w:rsidP="00EF71EB">
      <w:pPr>
        <w:spacing w:before="120" w:after="120" w:line="276" w:lineRule="auto"/>
        <w:ind w:left="1134" w:firstLine="305"/>
        <w:jc w:val="both"/>
      </w:pPr>
      <w:r>
        <w:t>Fonte: 81000000</w:t>
      </w:r>
    </w:p>
    <w:p w:rsidR="00EF71EB" w:rsidRDefault="00EF71EB" w:rsidP="00EF71EB">
      <w:pPr>
        <w:spacing w:before="120" w:after="120" w:line="276" w:lineRule="auto"/>
        <w:ind w:left="1134" w:firstLine="305"/>
        <w:jc w:val="both"/>
      </w:pPr>
      <w:r>
        <w:t>Programa de Trabalho: 170939</w:t>
      </w:r>
    </w:p>
    <w:p w:rsidR="00EF71EB" w:rsidRDefault="00EF71EB" w:rsidP="00EF71EB">
      <w:pPr>
        <w:spacing w:before="120" w:after="120" w:line="276" w:lineRule="auto"/>
        <w:ind w:left="1134" w:firstLine="305"/>
        <w:jc w:val="both"/>
      </w:pPr>
      <w:r>
        <w:t>Elemento de Despesa: 339037</w:t>
      </w:r>
    </w:p>
    <w:p w:rsidR="00EF71EB" w:rsidRDefault="00EF71EB" w:rsidP="00EF71EB">
      <w:pPr>
        <w:spacing w:before="120" w:after="120" w:line="276" w:lineRule="auto"/>
        <w:ind w:left="1134" w:firstLine="305"/>
        <w:jc w:val="both"/>
      </w:pPr>
      <w:r>
        <w:t>PI: L0000P0100N</w:t>
      </w:r>
    </w:p>
    <w:p w:rsidR="00EF71EB" w:rsidRDefault="00EF71EB" w:rsidP="009D75B9">
      <w:pPr>
        <w:numPr>
          <w:ilvl w:val="2"/>
          <w:numId w:val="18"/>
        </w:numPr>
        <w:spacing w:before="120" w:after="120" w:line="276" w:lineRule="auto"/>
        <w:jc w:val="both"/>
      </w:pPr>
      <w:r>
        <w:t>Campus Guarabira</w:t>
      </w:r>
    </w:p>
    <w:p w:rsidR="00EF71EB" w:rsidRDefault="00EF71EB" w:rsidP="00EF71EB">
      <w:pPr>
        <w:spacing w:before="120" w:after="120" w:line="276" w:lineRule="auto"/>
        <w:ind w:left="1134" w:firstLine="305"/>
        <w:jc w:val="both"/>
      </w:pPr>
      <w:r>
        <w:t>Gestão/Unidade: 26417/158868</w:t>
      </w:r>
    </w:p>
    <w:p w:rsidR="00EF71EB" w:rsidRDefault="00EF71EB" w:rsidP="00EF71EB">
      <w:pPr>
        <w:spacing w:before="120" w:after="120" w:line="276" w:lineRule="auto"/>
        <w:ind w:left="1134" w:firstLine="305"/>
        <w:jc w:val="both"/>
      </w:pPr>
      <w:r>
        <w:t>Fonte: 81000000</w:t>
      </w:r>
    </w:p>
    <w:p w:rsidR="00EF71EB" w:rsidRDefault="00EF71EB" w:rsidP="00EF71EB">
      <w:pPr>
        <w:spacing w:before="120" w:after="120" w:line="276" w:lineRule="auto"/>
        <w:ind w:left="1134" w:firstLine="305"/>
        <w:jc w:val="both"/>
      </w:pPr>
      <w:r>
        <w:t>Programa de Trabalho: 170939</w:t>
      </w:r>
    </w:p>
    <w:p w:rsidR="00EF71EB" w:rsidRDefault="00EF71EB" w:rsidP="00EF71EB">
      <w:pPr>
        <w:spacing w:before="120" w:after="120" w:line="276" w:lineRule="auto"/>
        <w:ind w:left="1134" w:firstLine="305"/>
        <w:jc w:val="both"/>
      </w:pPr>
      <w:r>
        <w:t>Elemento de Despesa: 339037</w:t>
      </w:r>
    </w:p>
    <w:p w:rsidR="00EF71EB" w:rsidRDefault="00EF71EB" w:rsidP="00EF71EB">
      <w:pPr>
        <w:spacing w:before="120" w:after="120" w:line="276" w:lineRule="auto"/>
        <w:ind w:left="1134" w:firstLine="305"/>
        <w:jc w:val="both"/>
      </w:pPr>
      <w:r>
        <w:t>PI: L0000P0100N</w:t>
      </w:r>
    </w:p>
    <w:p w:rsidR="00EF71EB" w:rsidRDefault="00EF71EB" w:rsidP="00EF71EB"/>
    <w:p w:rsidR="00EF71EB" w:rsidRDefault="00EF71EB" w:rsidP="009D75B9">
      <w:pPr>
        <w:keepNext/>
        <w:keepLines/>
        <w:numPr>
          <w:ilvl w:val="0"/>
          <w:numId w:val="18"/>
        </w:numPr>
        <w:pBdr>
          <w:top w:val="nil"/>
          <w:left w:val="nil"/>
          <w:bottom w:val="nil"/>
          <w:right w:val="nil"/>
          <w:between w:val="nil"/>
        </w:pBdr>
        <w:spacing w:before="480" w:after="120" w:line="276" w:lineRule="auto"/>
        <w:ind w:right="-15"/>
        <w:jc w:val="both"/>
        <w:rPr>
          <w:rFonts w:cs="Arial"/>
          <w:b/>
          <w:color w:val="000000"/>
          <w:szCs w:val="20"/>
        </w:rPr>
      </w:pPr>
      <w:r>
        <w:rPr>
          <w:rFonts w:eastAsia="Arial" w:cs="Arial"/>
          <w:b/>
          <w:color w:val="000000"/>
          <w:szCs w:val="20"/>
        </w:rPr>
        <w:t>DO CREDENCIAMENTO</w:t>
      </w:r>
    </w:p>
    <w:p w:rsidR="00EF71EB" w:rsidRDefault="00EF71EB" w:rsidP="009D75B9">
      <w:pPr>
        <w:numPr>
          <w:ilvl w:val="1"/>
          <w:numId w:val="4"/>
        </w:numPr>
        <w:spacing w:before="120" w:after="120" w:line="276" w:lineRule="auto"/>
        <w:ind w:left="856" w:hanging="431"/>
        <w:jc w:val="both"/>
        <w:rPr>
          <w:color w:val="000000"/>
        </w:rPr>
      </w:pPr>
      <w:r>
        <w:rPr>
          <w:color w:val="000000"/>
        </w:rPr>
        <w:t>O Credenciamento é o nível básico do registro cadastral no SICAF, que permite a participação dos interessados na modalidade licitatória Pregão, em sua forma eletrônica.</w:t>
      </w:r>
    </w:p>
    <w:p w:rsidR="00EF71EB" w:rsidRDefault="00EF71EB" w:rsidP="009D75B9">
      <w:pPr>
        <w:numPr>
          <w:ilvl w:val="1"/>
          <w:numId w:val="4"/>
        </w:numPr>
        <w:spacing w:before="120" w:after="120" w:line="276" w:lineRule="auto"/>
        <w:ind w:left="425" w:firstLine="0"/>
        <w:jc w:val="both"/>
        <w:rPr>
          <w:color w:val="000000"/>
        </w:rPr>
      </w:pPr>
      <w:r>
        <w:rPr>
          <w:color w:val="000000"/>
        </w:rPr>
        <w:t xml:space="preserve">O cadastro no SICAF deverá ser feito no Portal de Compras do Governo Federal, no sítio </w:t>
      </w:r>
      <w:hyperlink r:id="rId14">
        <w:r>
          <w:rPr>
            <w:color w:val="000080"/>
            <w:u w:val="single"/>
          </w:rPr>
          <w:t>www.comprasgovernamentais.gov.br</w:t>
        </w:r>
      </w:hyperlink>
      <w:r>
        <w:rPr>
          <w:color w:val="000000"/>
        </w:rPr>
        <w:t>, por meio de certificado digital conferido pela Infraestrutura de Chaves Públicas Brasileira – ICP - Brasil.</w:t>
      </w:r>
    </w:p>
    <w:p w:rsidR="00EF71EB" w:rsidRDefault="00EF71EB" w:rsidP="009D75B9">
      <w:pPr>
        <w:numPr>
          <w:ilvl w:val="1"/>
          <w:numId w:val="4"/>
        </w:numPr>
        <w:spacing w:before="120" w:after="120" w:line="276" w:lineRule="auto"/>
        <w:ind w:left="425" w:firstLine="0"/>
        <w:jc w:val="both"/>
        <w:rPr>
          <w:color w:val="000000"/>
        </w:rPr>
      </w:pPr>
      <w:r>
        <w:rPr>
          <w:color w:val="000000"/>
        </w:rPr>
        <w:t>O credenciamento junto ao provedor do sistema implica a responsabilidade do licitante ou de seu representante legal e a presunção de sua capacidade técnica para realização das transações inerentes a este Pregão.</w:t>
      </w:r>
    </w:p>
    <w:p w:rsidR="00EF71EB" w:rsidRDefault="00EF71EB" w:rsidP="009D75B9">
      <w:pPr>
        <w:numPr>
          <w:ilvl w:val="1"/>
          <w:numId w:val="4"/>
        </w:numPr>
        <w:spacing w:before="120" w:after="120" w:line="276" w:lineRule="auto"/>
        <w:ind w:left="425" w:firstLine="0"/>
        <w:jc w:val="both"/>
        <w:rPr>
          <w:color w:val="000000"/>
        </w:rPr>
      </w:pPr>
      <w:r>
        <w:rPr>
          <w:color w:val="000000"/>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rsidR="00EF71EB" w:rsidRDefault="00EF71EB" w:rsidP="009D75B9">
      <w:pPr>
        <w:numPr>
          <w:ilvl w:val="1"/>
          <w:numId w:val="4"/>
        </w:numPr>
        <w:spacing w:before="120" w:after="120" w:line="276" w:lineRule="auto"/>
        <w:ind w:left="425" w:firstLine="0"/>
        <w:jc w:val="both"/>
        <w:rPr>
          <w:color w:val="000000"/>
        </w:rPr>
      </w:pPr>
      <w:r>
        <w:rPr>
          <w:color w:val="000000"/>
        </w:rPr>
        <w:t>É de responsabilidade do cadastrado conferir a exatidão dos seus dados cadastrais no SICAF e mantê-los atualizados junto aos órgãos responsáveis pela informação, devendo proceder, imediatamente, à correção ou à alteração dos registros tão logo identifique incorreção ou aqueles se tornem desatualizados.</w:t>
      </w:r>
    </w:p>
    <w:p w:rsidR="00EF71EB" w:rsidRDefault="00EF71EB" w:rsidP="009D75B9">
      <w:pPr>
        <w:numPr>
          <w:ilvl w:val="2"/>
          <w:numId w:val="4"/>
        </w:numPr>
        <w:spacing w:before="120" w:after="120" w:line="276" w:lineRule="auto"/>
        <w:jc w:val="both"/>
        <w:rPr>
          <w:color w:val="000000"/>
        </w:rPr>
      </w:pPr>
      <w:r>
        <w:rPr>
          <w:color w:val="000000"/>
        </w:rPr>
        <w:t>A não observância do disposto no subitem anterior poderá ensejar desclassificação no momento da habilitação</w:t>
      </w:r>
    </w:p>
    <w:p w:rsidR="00EF71EB" w:rsidRDefault="00EF71EB" w:rsidP="009D75B9">
      <w:pPr>
        <w:keepNext/>
        <w:keepLines/>
        <w:numPr>
          <w:ilvl w:val="0"/>
          <w:numId w:val="4"/>
        </w:numPr>
        <w:pBdr>
          <w:top w:val="nil"/>
          <w:left w:val="nil"/>
          <w:bottom w:val="nil"/>
          <w:right w:val="nil"/>
          <w:between w:val="nil"/>
        </w:pBdr>
        <w:spacing w:before="480" w:after="120" w:line="276" w:lineRule="auto"/>
        <w:ind w:right="-15"/>
        <w:jc w:val="both"/>
        <w:rPr>
          <w:rFonts w:cs="Arial"/>
          <w:b/>
          <w:color w:val="000000"/>
          <w:szCs w:val="20"/>
        </w:rPr>
      </w:pPr>
      <w:r>
        <w:rPr>
          <w:rFonts w:eastAsia="Arial" w:cs="Arial"/>
          <w:b/>
          <w:color w:val="000000"/>
          <w:szCs w:val="20"/>
        </w:rPr>
        <w:lastRenderedPageBreak/>
        <w:t>DA PARTICIPAÇÃO NO PREGÃO</w:t>
      </w:r>
    </w:p>
    <w:p w:rsidR="00EF71EB" w:rsidRDefault="00EF71EB" w:rsidP="009D75B9">
      <w:pPr>
        <w:numPr>
          <w:ilvl w:val="1"/>
          <w:numId w:val="6"/>
        </w:numPr>
        <w:spacing w:before="120" w:after="120" w:line="276" w:lineRule="auto"/>
        <w:ind w:left="856" w:hanging="431"/>
        <w:jc w:val="both"/>
      </w:pPr>
      <w:r>
        <w:rPr>
          <w:color w:val="000000"/>
        </w:rPr>
        <w:t>Poderão participar deste Pregão interessados cujo ramo de atividade seja compatível com o objeto desta licitação, e que estejam com Credenciamento regular no Sistema de Cadastramento Unificado de Fornecedores – SICAF, conforme disposto no art. 9º da IN SEGES/MP nº 3, de 2018.</w:t>
      </w:r>
    </w:p>
    <w:p w:rsidR="00EF71EB" w:rsidRDefault="00EF71EB" w:rsidP="009D75B9">
      <w:pPr>
        <w:numPr>
          <w:ilvl w:val="2"/>
          <w:numId w:val="6"/>
        </w:numPr>
        <w:spacing w:before="120" w:after="120" w:line="276" w:lineRule="auto"/>
        <w:jc w:val="both"/>
        <w:rPr>
          <w:color w:val="000000"/>
        </w:rPr>
      </w:pPr>
      <w:r>
        <w:rPr>
          <w:color w:val="000000"/>
        </w:rPr>
        <w:t>Os licitantes deverão utilizar o certificado digital para acesso ao Sistema</w:t>
      </w:r>
    </w:p>
    <w:p w:rsidR="00EF71EB" w:rsidRDefault="00EF71EB" w:rsidP="009D75B9">
      <w:pPr>
        <w:numPr>
          <w:ilvl w:val="1"/>
          <w:numId w:val="6"/>
        </w:numPr>
        <w:spacing w:before="120" w:after="120" w:line="276" w:lineRule="auto"/>
        <w:ind w:left="425" w:firstLine="0"/>
        <w:jc w:val="both"/>
        <w:rPr>
          <w:color w:val="000000"/>
        </w:rPr>
      </w:pPr>
      <w:r>
        <w:rPr>
          <w:color w:val="000000"/>
        </w:rPr>
        <w:t>Não poderão participar desta licitação os interessados:</w:t>
      </w:r>
    </w:p>
    <w:p w:rsidR="00EF71EB" w:rsidRDefault="00EF71EB" w:rsidP="009D75B9">
      <w:pPr>
        <w:numPr>
          <w:ilvl w:val="2"/>
          <w:numId w:val="7"/>
        </w:numPr>
        <w:pBdr>
          <w:top w:val="nil"/>
          <w:left w:val="nil"/>
          <w:bottom w:val="nil"/>
          <w:right w:val="nil"/>
          <w:between w:val="nil"/>
        </w:pBdr>
        <w:shd w:val="clear" w:color="auto" w:fill="FFFFFF"/>
        <w:spacing w:before="120" w:after="120" w:line="276" w:lineRule="auto"/>
        <w:jc w:val="both"/>
        <w:rPr>
          <w:rFonts w:cs="Arial"/>
          <w:color w:val="000000"/>
          <w:szCs w:val="20"/>
        </w:rPr>
      </w:pPr>
      <w:r>
        <w:rPr>
          <w:rFonts w:eastAsia="Arial" w:cs="Arial"/>
          <w:color w:val="000000"/>
          <w:szCs w:val="20"/>
        </w:rPr>
        <w:t>proibidos de participar de licitações e celebrar contratos administrativos, na forma da legislação vigente;</w:t>
      </w:r>
    </w:p>
    <w:p w:rsidR="00EF71EB" w:rsidRDefault="00EF71EB" w:rsidP="009D75B9">
      <w:pPr>
        <w:numPr>
          <w:ilvl w:val="2"/>
          <w:numId w:val="7"/>
        </w:numPr>
        <w:pBdr>
          <w:top w:val="nil"/>
          <w:left w:val="nil"/>
          <w:bottom w:val="nil"/>
          <w:right w:val="nil"/>
          <w:between w:val="nil"/>
        </w:pBdr>
        <w:shd w:val="clear" w:color="auto" w:fill="FFFFFF"/>
        <w:spacing w:before="120" w:after="120" w:line="276" w:lineRule="auto"/>
        <w:jc w:val="both"/>
        <w:rPr>
          <w:rFonts w:cs="Arial"/>
          <w:color w:val="000000"/>
          <w:szCs w:val="20"/>
        </w:rPr>
      </w:pPr>
      <w:r>
        <w:rPr>
          <w:rFonts w:eastAsia="Arial" w:cs="Arial"/>
          <w:color w:val="000000"/>
          <w:szCs w:val="20"/>
        </w:rPr>
        <w:t>que não atendam às condições deste Edital e seu(s) anexo(s);</w:t>
      </w:r>
    </w:p>
    <w:p w:rsidR="00EF71EB" w:rsidRDefault="00EF71EB" w:rsidP="009D75B9">
      <w:pPr>
        <w:numPr>
          <w:ilvl w:val="2"/>
          <w:numId w:val="7"/>
        </w:numPr>
        <w:pBdr>
          <w:top w:val="nil"/>
          <w:left w:val="nil"/>
          <w:bottom w:val="nil"/>
          <w:right w:val="nil"/>
          <w:between w:val="nil"/>
        </w:pBdr>
        <w:shd w:val="clear" w:color="auto" w:fill="FFFFFF"/>
        <w:spacing w:before="120" w:after="120" w:line="276" w:lineRule="auto"/>
        <w:jc w:val="both"/>
        <w:rPr>
          <w:rFonts w:cs="Arial"/>
          <w:color w:val="000000"/>
          <w:szCs w:val="20"/>
        </w:rPr>
      </w:pPr>
      <w:r>
        <w:rPr>
          <w:rFonts w:eastAsia="Arial" w:cs="Arial"/>
          <w:color w:val="000000"/>
          <w:szCs w:val="20"/>
        </w:rPr>
        <w:t>estrangeiros que não tenham representação legal no Brasil com poderes expressos para receber citação e responder administrativa ou judicialmente;</w:t>
      </w:r>
    </w:p>
    <w:p w:rsidR="00EF71EB" w:rsidRDefault="00EF71EB" w:rsidP="009D75B9">
      <w:pPr>
        <w:numPr>
          <w:ilvl w:val="2"/>
          <w:numId w:val="7"/>
        </w:numPr>
        <w:pBdr>
          <w:top w:val="nil"/>
          <w:left w:val="nil"/>
          <w:bottom w:val="nil"/>
          <w:right w:val="nil"/>
          <w:between w:val="nil"/>
        </w:pBdr>
        <w:shd w:val="clear" w:color="auto" w:fill="FFFFFF"/>
        <w:spacing w:before="120" w:after="120" w:line="276" w:lineRule="auto"/>
        <w:jc w:val="both"/>
        <w:rPr>
          <w:rFonts w:cs="Arial"/>
          <w:color w:val="000000"/>
          <w:szCs w:val="20"/>
        </w:rPr>
      </w:pPr>
      <w:r>
        <w:rPr>
          <w:rFonts w:eastAsia="Arial" w:cs="Arial"/>
          <w:color w:val="000000"/>
          <w:szCs w:val="20"/>
        </w:rPr>
        <w:t>que se enquadrem nas vedações previstas no artigo 9º da Lei nº 8.666, de 1993;</w:t>
      </w:r>
    </w:p>
    <w:p w:rsidR="00EF71EB" w:rsidRDefault="00EF71EB" w:rsidP="009D75B9">
      <w:pPr>
        <w:keepNext/>
        <w:widowControl w:val="0"/>
        <w:numPr>
          <w:ilvl w:val="2"/>
          <w:numId w:val="7"/>
        </w:numPr>
        <w:pBdr>
          <w:top w:val="nil"/>
          <w:left w:val="nil"/>
          <w:bottom w:val="nil"/>
          <w:right w:val="nil"/>
          <w:between w:val="nil"/>
        </w:pBdr>
        <w:shd w:val="clear" w:color="auto" w:fill="FFFFFF"/>
        <w:spacing w:before="119" w:after="119" w:line="276" w:lineRule="auto"/>
        <w:jc w:val="both"/>
        <w:rPr>
          <w:rFonts w:cs="Arial"/>
          <w:color w:val="000000"/>
          <w:szCs w:val="20"/>
        </w:rPr>
      </w:pPr>
      <w:bookmarkStart w:id="1" w:name="_heading=h.30j0zll" w:colFirst="0" w:colLast="0"/>
      <w:bookmarkEnd w:id="1"/>
      <w:r>
        <w:rPr>
          <w:rFonts w:eastAsia="Arial" w:cs="Arial"/>
          <w:color w:val="000000"/>
          <w:szCs w:val="20"/>
        </w:rPr>
        <w:t>que estejam sob falência, recuperação judicial ou extrajudicial, ou concurso de credores ou insolvência, em processo de dissolução ou liquidação, observado o disposto no item 9.10.1.1deste Edital;</w:t>
      </w:r>
    </w:p>
    <w:p w:rsidR="00EF71EB" w:rsidRDefault="00EF71EB" w:rsidP="009D75B9">
      <w:pPr>
        <w:numPr>
          <w:ilvl w:val="2"/>
          <w:numId w:val="7"/>
        </w:numPr>
        <w:pBdr>
          <w:top w:val="nil"/>
          <w:left w:val="nil"/>
          <w:bottom w:val="nil"/>
          <w:right w:val="nil"/>
          <w:between w:val="nil"/>
        </w:pBdr>
        <w:spacing w:line="276" w:lineRule="auto"/>
        <w:rPr>
          <w:rFonts w:cs="Arial"/>
          <w:color w:val="000000"/>
          <w:szCs w:val="20"/>
        </w:rPr>
      </w:pPr>
      <w:r>
        <w:rPr>
          <w:rFonts w:eastAsia="Arial" w:cs="Arial"/>
          <w:color w:val="000000"/>
          <w:szCs w:val="20"/>
        </w:rPr>
        <w:t>entidades empresariais que estejam reunidas em consórcio;</w:t>
      </w:r>
    </w:p>
    <w:p w:rsidR="00EF71EB" w:rsidRDefault="00EF71EB" w:rsidP="00EF71EB">
      <w:pPr>
        <w:spacing w:line="276" w:lineRule="auto"/>
      </w:pPr>
    </w:p>
    <w:p w:rsidR="00EF71EB" w:rsidRDefault="00EF71EB" w:rsidP="009D75B9">
      <w:pPr>
        <w:numPr>
          <w:ilvl w:val="2"/>
          <w:numId w:val="7"/>
        </w:numPr>
        <w:pBdr>
          <w:top w:val="nil"/>
          <w:left w:val="nil"/>
          <w:bottom w:val="nil"/>
          <w:right w:val="nil"/>
          <w:between w:val="nil"/>
        </w:pBdr>
        <w:tabs>
          <w:tab w:val="left" w:pos="1440"/>
        </w:tabs>
        <w:spacing w:before="120" w:after="120" w:line="276" w:lineRule="auto"/>
        <w:jc w:val="both"/>
        <w:rPr>
          <w:rFonts w:cs="Arial"/>
          <w:color w:val="000000"/>
          <w:szCs w:val="20"/>
        </w:rPr>
      </w:pPr>
      <w:r>
        <w:rPr>
          <w:rFonts w:eastAsia="Arial" w:cs="Arial"/>
          <w:color w:val="000000"/>
          <w:szCs w:val="20"/>
        </w:rPr>
        <w:t xml:space="preserve">organizações da Sociedade Civil de Interesse Público - OSCIP, atuando nessa condição (Acórdão nº 746/2014-TCU-Plenário); </w:t>
      </w:r>
    </w:p>
    <w:p w:rsidR="00EF71EB" w:rsidRDefault="00EF71EB" w:rsidP="009D75B9">
      <w:pPr>
        <w:numPr>
          <w:ilvl w:val="2"/>
          <w:numId w:val="7"/>
        </w:numPr>
        <w:tabs>
          <w:tab w:val="left" w:pos="1440"/>
        </w:tabs>
        <w:spacing w:before="120" w:after="120" w:line="276" w:lineRule="auto"/>
        <w:jc w:val="both"/>
      </w:pPr>
      <w:r>
        <w:t>instituições sem fins lucrativos (parágrafo único do art. 12 da Instrução Normativa SEGES/MP nº 05/2017);</w:t>
      </w:r>
    </w:p>
    <w:p w:rsidR="00EF71EB" w:rsidRDefault="00EF71EB" w:rsidP="009D75B9">
      <w:pPr>
        <w:numPr>
          <w:ilvl w:val="3"/>
          <w:numId w:val="7"/>
        </w:numPr>
        <w:tabs>
          <w:tab w:val="left" w:pos="1440"/>
        </w:tabs>
        <w:spacing w:before="120" w:after="120" w:line="276" w:lineRule="auto"/>
        <w:jc w:val="both"/>
      </w:pPr>
      <w:r>
        <w:t>É admissível a participação de organizações sociais, qualificadas na forma dos arts. 5º a 7º da Lei 9.637/1998, desde que os serviços objeto desta licitação se insiram entre as atividades previstas no contrato de gestão firmado entre o Poder Público e a organização social (Acórdão nº 1.406/2017- TCU-Plenário), mediante apresentação do Contrato de Gestão e dos respectivos atos constitutivos.</w:t>
      </w:r>
    </w:p>
    <w:p w:rsidR="00EF71EB" w:rsidRDefault="00EF71EB" w:rsidP="009D75B9">
      <w:pPr>
        <w:numPr>
          <w:ilvl w:val="2"/>
          <w:numId w:val="7"/>
        </w:numPr>
        <w:tabs>
          <w:tab w:val="left" w:pos="1440"/>
        </w:tabs>
        <w:spacing w:before="120" w:after="120" w:line="276" w:lineRule="auto"/>
        <w:jc w:val="both"/>
      </w:pPr>
      <w:bookmarkStart w:id="2" w:name="_heading=h.1fob9te" w:colFirst="0" w:colLast="0"/>
      <w:bookmarkEnd w:id="2"/>
      <w:r>
        <w:t>sociedades cooperativas, considerando a vedação contida no art. 10 da Instrução Normativa SEGES/MP nº 5, de 2017, bem como o disposto no Termo de Conciliação firmado entre o Ministério Público do Trabalho e a AGU.</w:t>
      </w:r>
    </w:p>
    <w:p w:rsidR="00EF71EB" w:rsidRDefault="00EF71EB" w:rsidP="009D75B9">
      <w:pPr>
        <w:numPr>
          <w:ilvl w:val="1"/>
          <w:numId w:val="6"/>
        </w:numPr>
        <w:spacing w:before="120" w:after="120" w:line="276" w:lineRule="auto"/>
        <w:ind w:left="425" w:firstLine="0"/>
        <w:jc w:val="both"/>
      </w:pPr>
      <w:r>
        <w:rPr>
          <w:color w:val="000000"/>
        </w:rPr>
        <w:t>Nos</w:t>
      </w:r>
      <w:r>
        <w:rPr>
          <w:color w:val="000000"/>
          <w:highlight w:val="white"/>
        </w:rPr>
        <w:t xml:space="preserve"> termos do art. 5º do Decreto nº 9.507, de 2018, é vedada a contratação de </w:t>
      </w:r>
      <w:r>
        <w:t>pessoa</w:t>
      </w:r>
      <w:r>
        <w:rPr>
          <w:color w:val="000000"/>
          <w:highlight w:val="white"/>
        </w:rPr>
        <w:t xml:space="preserve"> jurídica na qual haja administrador ou sócio com poder de direção, familiar de:</w:t>
      </w:r>
    </w:p>
    <w:p w:rsidR="00EF71EB" w:rsidRDefault="00EF71EB" w:rsidP="009D75B9">
      <w:pPr>
        <w:numPr>
          <w:ilvl w:val="0"/>
          <w:numId w:val="11"/>
        </w:numPr>
        <w:pBdr>
          <w:top w:val="nil"/>
          <w:left w:val="nil"/>
          <w:bottom w:val="nil"/>
          <w:right w:val="nil"/>
          <w:between w:val="nil"/>
        </w:pBdr>
        <w:shd w:val="clear" w:color="auto" w:fill="FFFFFF"/>
        <w:spacing w:before="119" w:after="119" w:line="276" w:lineRule="auto"/>
        <w:ind w:left="993" w:hanging="283"/>
        <w:jc w:val="both"/>
        <w:rPr>
          <w:rFonts w:cs="Arial"/>
          <w:color w:val="003366"/>
          <w:szCs w:val="20"/>
        </w:rPr>
      </w:pPr>
      <w:r>
        <w:rPr>
          <w:rFonts w:eastAsia="Arial" w:cs="Arial"/>
          <w:color w:val="000000"/>
          <w:szCs w:val="20"/>
          <w:highlight w:val="white"/>
        </w:rPr>
        <w:t>detentor de cargo em comissão ou função de confiança que atue na área responsável pela demanda ou contratação; ou</w:t>
      </w:r>
    </w:p>
    <w:p w:rsidR="00EF71EB" w:rsidRDefault="00EF71EB" w:rsidP="009D75B9">
      <w:pPr>
        <w:numPr>
          <w:ilvl w:val="0"/>
          <w:numId w:val="11"/>
        </w:numPr>
        <w:pBdr>
          <w:top w:val="nil"/>
          <w:left w:val="nil"/>
          <w:bottom w:val="nil"/>
          <w:right w:val="nil"/>
          <w:between w:val="nil"/>
        </w:pBdr>
        <w:shd w:val="clear" w:color="auto" w:fill="FFFFFF"/>
        <w:spacing w:before="119" w:after="119" w:line="276" w:lineRule="auto"/>
        <w:ind w:left="993" w:hanging="283"/>
        <w:jc w:val="both"/>
        <w:rPr>
          <w:rFonts w:cs="Arial"/>
          <w:color w:val="003366"/>
          <w:szCs w:val="20"/>
        </w:rPr>
      </w:pPr>
      <w:r>
        <w:rPr>
          <w:rFonts w:eastAsia="Arial" w:cs="Arial"/>
          <w:color w:val="000000"/>
          <w:szCs w:val="20"/>
          <w:highlight w:val="white"/>
        </w:rPr>
        <w:lastRenderedPageBreak/>
        <w:t>de autoridade hierarquicamente superior no âmbito do órgão contratante.</w:t>
      </w:r>
    </w:p>
    <w:p w:rsidR="00EF71EB" w:rsidRDefault="00EF71EB" w:rsidP="009D75B9">
      <w:pPr>
        <w:numPr>
          <w:ilvl w:val="2"/>
          <w:numId w:val="9"/>
        </w:numPr>
        <w:pBdr>
          <w:top w:val="nil"/>
          <w:left w:val="nil"/>
          <w:bottom w:val="nil"/>
          <w:right w:val="nil"/>
          <w:between w:val="nil"/>
        </w:pBdr>
        <w:shd w:val="clear" w:color="auto" w:fill="FFFFFF"/>
        <w:spacing w:before="119" w:after="119" w:line="276" w:lineRule="auto"/>
        <w:jc w:val="both"/>
        <w:rPr>
          <w:rFonts w:cs="Arial"/>
          <w:color w:val="003366"/>
          <w:szCs w:val="20"/>
        </w:rPr>
      </w:pPr>
      <w:r>
        <w:rPr>
          <w:rFonts w:eastAsia="Arial" w:cs="Arial"/>
          <w:color w:val="000000"/>
          <w:szCs w:val="20"/>
          <w:highlight w:val="white"/>
        </w:rPr>
        <w:t>Para os fins do disposto neste item</w:t>
      </w:r>
      <w:r>
        <w:rPr>
          <w:rFonts w:eastAsia="Arial" w:cs="Arial"/>
          <w:i/>
          <w:color w:val="000000"/>
          <w:szCs w:val="20"/>
          <w:highlight w:val="white"/>
        </w:rPr>
        <w:t>,</w:t>
      </w:r>
      <w:r>
        <w:rPr>
          <w:rFonts w:eastAsia="Arial" w:cs="Arial"/>
          <w:color w:val="000000"/>
          <w:szCs w:val="20"/>
          <w:highlight w:val="white"/>
        </w:rPr>
        <w:t xml:space="preserve"> considera-se familiar o cônjuge, o companheiro ou o parente em linha reta ou colateral, por consanguinidade ou afinidade, até o terceiro grau (Súmula Vinculante/STF nº 13, art. 5º, inciso V, da Lei nº 12.813, de 16 de maio de 2013 e art. 2º, inciso III, do Decreto n.º 7.203, de 04 de junho de 2010); </w:t>
      </w:r>
    </w:p>
    <w:p w:rsidR="00EF71EB" w:rsidRDefault="00EF71EB" w:rsidP="009D75B9">
      <w:pPr>
        <w:numPr>
          <w:ilvl w:val="1"/>
          <w:numId w:val="6"/>
        </w:numPr>
        <w:spacing w:before="120" w:after="120" w:line="276" w:lineRule="auto"/>
        <w:ind w:left="425" w:firstLine="0"/>
        <w:jc w:val="both"/>
        <w:rPr>
          <w:color w:val="000000"/>
        </w:rPr>
      </w:pPr>
      <w:r>
        <w:rPr>
          <w:color w:val="000000"/>
          <w:highlight w:val="white"/>
        </w:rPr>
        <w:t xml:space="preserve">Nos termos do art. 7° do Decreto n° 7.203, de 2010, é vedada, ainda, a utilização, na execução dos serviços </w:t>
      </w:r>
      <w:r>
        <w:rPr>
          <w:color w:val="000000"/>
        </w:rPr>
        <w:t>contratados</w:t>
      </w:r>
      <w:r>
        <w:rPr>
          <w:color w:val="000000"/>
          <w:highlight w:val="white"/>
        </w:rPr>
        <w:t>, de empregado da futura Contratada que seja familiar de agente público ocupante de cargo em comissão ou função de confiança neste órgão contratante.</w:t>
      </w:r>
    </w:p>
    <w:p w:rsidR="00EF71EB" w:rsidRDefault="00EF71EB" w:rsidP="009D75B9">
      <w:pPr>
        <w:numPr>
          <w:ilvl w:val="1"/>
          <w:numId w:val="6"/>
        </w:numPr>
        <w:spacing w:before="120" w:after="120" w:line="276" w:lineRule="auto"/>
        <w:ind w:left="425" w:firstLine="0"/>
        <w:jc w:val="both"/>
        <w:rPr>
          <w:color w:val="000000"/>
        </w:rPr>
      </w:pPr>
      <w:r>
        <w:rPr>
          <w:color w:val="000000"/>
        </w:rPr>
        <w:t>Como condição para participação no Pregão, o licitante assinalará “sim” ou “não” em campo próprio do sistema eletrônico, relativo às seguintes declarações:</w:t>
      </w:r>
    </w:p>
    <w:p w:rsidR="00EF71EB" w:rsidRDefault="00EF71EB" w:rsidP="009D75B9">
      <w:pPr>
        <w:numPr>
          <w:ilvl w:val="2"/>
          <w:numId w:val="6"/>
        </w:numPr>
        <w:spacing w:before="120" w:after="120" w:line="276" w:lineRule="auto"/>
        <w:jc w:val="both"/>
      </w:pPr>
      <w:r>
        <w:t>que cumpre os requisitos estabelecidos no artigo 3° da Lei Complementar nº 123, de 2006, estando apto a usufruir do tratamento favorecido estabelecido em seus arts. 42 a 49.</w:t>
      </w:r>
    </w:p>
    <w:p w:rsidR="00EF71EB" w:rsidRDefault="00EF71EB" w:rsidP="009D75B9">
      <w:pPr>
        <w:numPr>
          <w:ilvl w:val="3"/>
          <w:numId w:val="6"/>
        </w:numPr>
        <w:spacing w:before="120" w:after="120" w:line="276" w:lineRule="auto"/>
        <w:jc w:val="both"/>
      </w:pPr>
      <w:r>
        <w:t>nos itens exclusivos para participação de microempresas e empresas de pequeno porte, a assinalação do campo “não” impedirá o prosseguimento no certame;</w:t>
      </w:r>
    </w:p>
    <w:p w:rsidR="00EF71EB" w:rsidRDefault="00EF71EB" w:rsidP="009D75B9">
      <w:pPr>
        <w:numPr>
          <w:ilvl w:val="3"/>
          <w:numId w:val="6"/>
        </w:numPr>
        <w:spacing w:before="120" w:after="120" w:line="276" w:lineRule="auto"/>
        <w:jc w:val="both"/>
      </w:pPr>
      <w:r>
        <w:t>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rsidR="00EF71EB" w:rsidRDefault="00EF71EB" w:rsidP="009D75B9">
      <w:pPr>
        <w:numPr>
          <w:ilvl w:val="2"/>
          <w:numId w:val="6"/>
        </w:numPr>
        <w:shd w:val="clear" w:color="auto" w:fill="FFFFFF"/>
        <w:spacing w:before="120" w:after="120" w:line="276" w:lineRule="auto"/>
        <w:jc w:val="both"/>
      </w:pPr>
      <w:r>
        <w:t>que está ciente e concorda com as condições contidas no Edital e seus anexos;</w:t>
      </w:r>
    </w:p>
    <w:p w:rsidR="00EF71EB" w:rsidRDefault="00EF71EB" w:rsidP="009D75B9">
      <w:pPr>
        <w:numPr>
          <w:ilvl w:val="2"/>
          <w:numId w:val="6"/>
        </w:numPr>
        <w:shd w:val="clear" w:color="auto" w:fill="FFFFFF"/>
        <w:spacing w:before="120" w:after="120" w:line="276" w:lineRule="auto"/>
        <w:jc w:val="both"/>
      </w:pPr>
      <w:r>
        <w:t>que cumpre os requisitos para a habilitação definidos no Edital e que a proposta apresentada está em conformidade com as exigências editalícias;</w:t>
      </w:r>
    </w:p>
    <w:p w:rsidR="00EF71EB" w:rsidRDefault="00EF71EB" w:rsidP="009D75B9">
      <w:pPr>
        <w:numPr>
          <w:ilvl w:val="2"/>
          <w:numId w:val="6"/>
        </w:numPr>
        <w:shd w:val="clear" w:color="auto" w:fill="FFFFFF"/>
        <w:spacing w:before="120" w:after="120" w:line="276" w:lineRule="auto"/>
        <w:jc w:val="both"/>
      </w:pPr>
      <w:r>
        <w:t>que inexistem fatos impeditivos para sua habilitação no certame, ciente da obrigatoriedade de declarar ocorrências posteriores;</w:t>
      </w:r>
    </w:p>
    <w:p w:rsidR="00EF71EB" w:rsidRDefault="00EF71EB" w:rsidP="009D75B9">
      <w:pPr>
        <w:numPr>
          <w:ilvl w:val="2"/>
          <w:numId w:val="6"/>
        </w:numPr>
        <w:shd w:val="clear" w:color="auto" w:fill="FFFFFF"/>
        <w:spacing w:before="120" w:after="120" w:line="276" w:lineRule="auto"/>
        <w:jc w:val="both"/>
      </w:pPr>
      <w:r>
        <w:t>que não emprega menor de 18 anos em trabalho noturno, perigoso ou insalubre e não emprega menor de 16 anos, salvo menor, a partir de 14 anos, na condição de aprendiz, nos termos do artigo 7°, XXXIII, da Constituição;</w:t>
      </w:r>
    </w:p>
    <w:p w:rsidR="00EF71EB" w:rsidRDefault="00EF71EB" w:rsidP="009D75B9">
      <w:pPr>
        <w:numPr>
          <w:ilvl w:val="2"/>
          <w:numId w:val="6"/>
        </w:numPr>
        <w:shd w:val="clear" w:color="auto" w:fill="FFFFFF"/>
        <w:spacing w:before="120" w:after="120" w:line="276" w:lineRule="auto"/>
        <w:jc w:val="both"/>
      </w:pPr>
      <w:r>
        <w:t>que a proposta foi elaborada de forma independente, nos termos da Instrução Normativa SLTI/MP nº 2, de 16 de setembro de 2009.</w:t>
      </w:r>
    </w:p>
    <w:p w:rsidR="00EF71EB" w:rsidRDefault="00EF71EB" w:rsidP="009D75B9">
      <w:pPr>
        <w:numPr>
          <w:ilvl w:val="2"/>
          <w:numId w:val="6"/>
        </w:numPr>
        <w:shd w:val="clear" w:color="auto" w:fill="FFFFFF"/>
        <w:spacing w:before="120" w:after="120" w:line="276" w:lineRule="auto"/>
        <w:jc w:val="both"/>
      </w:pPr>
      <w:r>
        <w:t>que não possui, em sua cadeia produtiva, empregados executando trabalho degradante ou forçado, observando o disposto nos incisos III e IV do art. 1º e no inciso III do art. 5º da Constituição Federal;</w:t>
      </w:r>
    </w:p>
    <w:p w:rsidR="00EF71EB" w:rsidRDefault="00EF71EB" w:rsidP="009D75B9">
      <w:pPr>
        <w:numPr>
          <w:ilvl w:val="2"/>
          <w:numId w:val="6"/>
        </w:numPr>
        <w:shd w:val="clear" w:color="auto" w:fill="FFFFFF"/>
        <w:spacing w:before="120" w:after="120" w:line="276" w:lineRule="auto"/>
        <w:jc w:val="both"/>
      </w:pPr>
      <w:r>
        <w:t xml:space="preserve">que os serviços são prestados por empresas que comprovem cumprimento de reserva de cargos prevista em lei para pessoa com deficiência ou para reabilitado da Previdência Social e que atendam às regras de acessibilidade </w:t>
      </w:r>
      <w:r>
        <w:lastRenderedPageBreak/>
        <w:t>previstas na legislação, conforme disposto no art. 93 da Lei nº 8.213, de 24 de julho de 1991.</w:t>
      </w:r>
    </w:p>
    <w:p w:rsidR="00EF71EB" w:rsidRDefault="00EF71EB" w:rsidP="009D75B9">
      <w:pPr>
        <w:numPr>
          <w:ilvl w:val="1"/>
          <w:numId w:val="6"/>
        </w:numPr>
        <w:pBdr>
          <w:top w:val="nil"/>
          <w:left w:val="nil"/>
          <w:bottom w:val="nil"/>
          <w:right w:val="nil"/>
          <w:between w:val="nil"/>
        </w:pBdr>
        <w:spacing w:before="120" w:after="120" w:line="276" w:lineRule="auto"/>
        <w:ind w:left="425" w:firstLine="0"/>
        <w:jc w:val="both"/>
      </w:pPr>
      <w:r>
        <w:t>A declaração falsa relativa ao cumprimento de qualquer condição sujeitará o licitante às sanções previstas em lei e neste Edital.</w:t>
      </w:r>
    </w:p>
    <w:p w:rsidR="00EF71EB" w:rsidRDefault="00EF71EB" w:rsidP="00EF71EB">
      <w:pPr>
        <w:spacing w:before="120" w:after="120" w:line="276" w:lineRule="auto"/>
        <w:ind w:left="425"/>
        <w:jc w:val="both"/>
      </w:pPr>
    </w:p>
    <w:p w:rsidR="00EF71EB" w:rsidRDefault="00EF71EB" w:rsidP="00EF71EB">
      <w:pPr>
        <w:keepNext/>
        <w:keepLines/>
        <w:pBdr>
          <w:top w:val="nil"/>
          <w:left w:val="nil"/>
          <w:bottom w:val="nil"/>
          <w:right w:val="nil"/>
          <w:between w:val="nil"/>
        </w:pBdr>
        <w:spacing w:before="120" w:after="120" w:line="276" w:lineRule="auto"/>
        <w:ind w:left="425" w:right="-15" w:hanging="360"/>
        <w:jc w:val="both"/>
        <w:rPr>
          <w:rFonts w:cs="Arial"/>
          <w:b/>
          <w:color w:val="000000"/>
          <w:szCs w:val="20"/>
        </w:rPr>
      </w:pPr>
      <w:r>
        <w:rPr>
          <w:rFonts w:eastAsia="Arial" w:cs="Arial"/>
          <w:b/>
          <w:color w:val="000000"/>
          <w:szCs w:val="20"/>
        </w:rPr>
        <w:t>5.</w:t>
      </w:r>
      <w:r>
        <w:rPr>
          <w:rFonts w:eastAsia="Arial" w:cs="Arial"/>
          <w:b/>
          <w:color w:val="000000"/>
          <w:szCs w:val="20"/>
        </w:rPr>
        <w:tab/>
        <w:t xml:space="preserve"> DA APRESENTAÇÃO DA PROPOSTA E DOS DOCUMENTOS DE HABILITAÇÃO</w:t>
      </w:r>
    </w:p>
    <w:p w:rsidR="00EF71EB" w:rsidRDefault="00EF71EB" w:rsidP="00EF71EB">
      <w:pPr>
        <w:spacing w:before="120" w:after="120" w:line="276" w:lineRule="auto"/>
        <w:ind w:left="425"/>
        <w:jc w:val="both"/>
      </w:pPr>
      <w:r>
        <w:t>5.1.</w:t>
      </w:r>
      <w:r>
        <w:tab/>
        <w:t xml:space="preserve">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EF71EB" w:rsidRDefault="00EF71EB" w:rsidP="00EF71EB">
      <w:pPr>
        <w:spacing w:before="120" w:after="120" w:line="276" w:lineRule="auto"/>
        <w:ind w:left="425"/>
        <w:jc w:val="both"/>
      </w:pPr>
      <w:r>
        <w:t>5.2.</w:t>
      </w:r>
      <w:r>
        <w:tab/>
        <w:t>O envio da proposta, acompanhada dos documentos de habilitação exigidos neste Edital, ocorrerá por meio de chave de acesso e senha.</w:t>
      </w:r>
    </w:p>
    <w:p w:rsidR="00EF71EB" w:rsidRDefault="00EF71EB" w:rsidP="00EF71EB">
      <w:pPr>
        <w:spacing w:before="120" w:after="120" w:line="276" w:lineRule="auto"/>
        <w:ind w:left="425"/>
        <w:jc w:val="both"/>
      </w:pPr>
      <w:r>
        <w:t>5.3.</w:t>
      </w:r>
      <w:r>
        <w:tab/>
        <w:t>Os licitantes poderão deixar de apresentar os documentos de habilitação que constem do SICAF, assegurado aos demais licitantes o direito de acesso aos dados constantes dos sistemas.</w:t>
      </w:r>
    </w:p>
    <w:p w:rsidR="00EF71EB" w:rsidRDefault="00EF71EB" w:rsidP="00EF71EB">
      <w:pPr>
        <w:spacing w:before="120" w:after="120" w:line="276" w:lineRule="auto"/>
        <w:ind w:left="425"/>
        <w:jc w:val="both"/>
      </w:pPr>
      <w:r>
        <w:t>5.4.</w:t>
      </w:r>
      <w:r>
        <w:tab/>
        <w:t xml:space="preserve">As Microempresas e Empresas de Pequeno Porte deverão encaminhar a documentação de habilitação, ainda que haja alguma restrição de regularidade fiscal e trabalhista, nos termos do art. 43, § 1º da LC nº 123, de 2006. </w:t>
      </w:r>
    </w:p>
    <w:p w:rsidR="00EF71EB" w:rsidRDefault="00EF71EB" w:rsidP="00EF71EB">
      <w:pPr>
        <w:spacing w:before="120" w:after="120" w:line="276" w:lineRule="auto"/>
        <w:ind w:left="425"/>
        <w:jc w:val="both"/>
      </w:pPr>
      <w:r>
        <w:t>5.5.</w:t>
      </w:r>
      <w:r>
        <w:tab/>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EF71EB" w:rsidRDefault="00EF71EB" w:rsidP="00EF71EB">
      <w:pPr>
        <w:spacing w:before="120" w:after="120" w:line="276" w:lineRule="auto"/>
        <w:ind w:left="425"/>
        <w:jc w:val="both"/>
      </w:pPr>
      <w:r>
        <w:t>5.6.</w:t>
      </w:r>
      <w:r>
        <w:tab/>
        <w:t>Até a abertura da sessão pública, os licitantes poderão retirar ou substituir a proposta e os documentos de habilitação anteriormente inseridos no sistema.</w:t>
      </w:r>
    </w:p>
    <w:p w:rsidR="00EF71EB" w:rsidRDefault="00EF71EB" w:rsidP="00EF71EB">
      <w:pPr>
        <w:spacing w:before="120" w:after="120" w:line="276" w:lineRule="auto"/>
        <w:ind w:left="425"/>
        <w:jc w:val="both"/>
      </w:pPr>
      <w:r>
        <w:t>5.7.</w:t>
      </w:r>
      <w:r>
        <w:tab/>
        <w:t>Não será estabelecida, nessa etapa do certame, ordem de classificação entre as propostas apresentadas, o que somente ocorrerá após a realização dos procedimentos de negociação e julgamento da proposta.</w:t>
      </w:r>
    </w:p>
    <w:p w:rsidR="00EF71EB" w:rsidRDefault="00EF71EB" w:rsidP="00EF71EB">
      <w:pPr>
        <w:spacing w:before="120" w:after="120" w:line="276" w:lineRule="auto"/>
        <w:ind w:left="425"/>
        <w:jc w:val="both"/>
      </w:pPr>
      <w:r>
        <w:t>5.8.</w:t>
      </w:r>
      <w:r>
        <w:tab/>
        <w:t>Os documentos que compõem a proposta e a habilitação do licitante melhor classificado somente serão disponibilizados para avaliação do pregoeiro e para acesso público após o encerramento do envio de lances.</w:t>
      </w:r>
    </w:p>
    <w:p w:rsidR="00EF71EB" w:rsidRDefault="00EF71EB" w:rsidP="009D75B9">
      <w:pPr>
        <w:keepNext/>
        <w:keepLines/>
        <w:numPr>
          <w:ilvl w:val="0"/>
          <w:numId w:val="19"/>
        </w:numPr>
        <w:pBdr>
          <w:top w:val="nil"/>
          <w:left w:val="nil"/>
          <w:bottom w:val="nil"/>
          <w:right w:val="nil"/>
          <w:between w:val="nil"/>
        </w:pBdr>
        <w:spacing w:before="480" w:after="120" w:line="276" w:lineRule="auto"/>
        <w:ind w:right="-15" w:firstLine="66"/>
        <w:jc w:val="both"/>
        <w:rPr>
          <w:rFonts w:cs="Arial"/>
          <w:b/>
          <w:color w:val="000000"/>
          <w:szCs w:val="20"/>
        </w:rPr>
      </w:pPr>
      <w:r>
        <w:rPr>
          <w:rFonts w:eastAsia="Arial" w:cs="Arial"/>
          <w:b/>
          <w:color w:val="000000"/>
          <w:szCs w:val="20"/>
        </w:rPr>
        <w:t>DO PREENCHIMENTO DA PROPOSTA</w:t>
      </w:r>
    </w:p>
    <w:p w:rsidR="00EF71EB" w:rsidRDefault="00EF71EB" w:rsidP="009D75B9">
      <w:pPr>
        <w:numPr>
          <w:ilvl w:val="1"/>
          <w:numId w:val="19"/>
        </w:numPr>
        <w:spacing w:before="120" w:after="120" w:line="276" w:lineRule="auto"/>
        <w:ind w:left="425" w:firstLine="0"/>
        <w:jc w:val="both"/>
        <w:rPr>
          <w:color w:val="000000"/>
        </w:rPr>
      </w:pPr>
      <w:r>
        <w:t>O licitante deverá enviar sua proposta mediante o preenchimento, no sistema eletrônico, dos seguintes campos:</w:t>
      </w:r>
    </w:p>
    <w:p w:rsidR="00EF71EB" w:rsidRDefault="00EF71EB" w:rsidP="009D75B9">
      <w:pPr>
        <w:numPr>
          <w:ilvl w:val="2"/>
          <w:numId w:val="19"/>
        </w:numPr>
        <w:pBdr>
          <w:top w:val="nil"/>
          <w:left w:val="nil"/>
          <w:bottom w:val="nil"/>
          <w:right w:val="nil"/>
          <w:between w:val="nil"/>
        </w:pBdr>
        <w:tabs>
          <w:tab w:val="left" w:pos="1440"/>
        </w:tabs>
        <w:spacing w:before="120" w:line="276" w:lineRule="auto"/>
        <w:jc w:val="both"/>
        <w:rPr>
          <w:rFonts w:cs="Arial"/>
          <w:color w:val="000000"/>
          <w:szCs w:val="20"/>
        </w:rPr>
      </w:pPr>
      <w:r>
        <w:rPr>
          <w:rFonts w:eastAsia="Arial" w:cs="Arial"/>
          <w:color w:val="000000"/>
          <w:szCs w:val="20"/>
        </w:rPr>
        <w:t xml:space="preserve"> valor unitário e anual do item;</w:t>
      </w:r>
    </w:p>
    <w:p w:rsidR="00EF71EB" w:rsidRDefault="00EF71EB" w:rsidP="009D75B9">
      <w:pPr>
        <w:numPr>
          <w:ilvl w:val="2"/>
          <w:numId w:val="19"/>
        </w:numPr>
        <w:pBdr>
          <w:top w:val="nil"/>
          <w:left w:val="nil"/>
          <w:bottom w:val="nil"/>
          <w:right w:val="nil"/>
          <w:between w:val="nil"/>
        </w:pBdr>
        <w:tabs>
          <w:tab w:val="left" w:pos="1440"/>
        </w:tabs>
        <w:spacing w:line="276" w:lineRule="auto"/>
        <w:jc w:val="both"/>
        <w:rPr>
          <w:rFonts w:cs="Arial"/>
          <w:color w:val="000000"/>
          <w:szCs w:val="20"/>
        </w:rPr>
      </w:pPr>
      <w:r>
        <w:rPr>
          <w:rFonts w:eastAsia="Arial" w:cs="Arial"/>
          <w:color w:val="000000"/>
          <w:szCs w:val="20"/>
        </w:rPr>
        <w:t xml:space="preserve">Descrição do objeto, contendo as informações similares à especificação do Termo de Referência, incluindo-se, dentre outras, as seguintes informações: </w:t>
      </w:r>
    </w:p>
    <w:p w:rsidR="00EF71EB" w:rsidRDefault="00EF71EB" w:rsidP="009D75B9">
      <w:pPr>
        <w:numPr>
          <w:ilvl w:val="3"/>
          <w:numId w:val="19"/>
        </w:numPr>
        <w:pBdr>
          <w:top w:val="nil"/>
          <w:left w:val="nil"/>
          <w:bottom w:val="nil"/>
          <w:right w:val="nil"/>
          <w:between w:val="nil"/>
        </w:pBdr>
        <w:tabs>
          <w:tab w:val="left" w:pos="1440"/>
        </w:tabs>
        <w:spacing w:line="276" w:lineRule="auto"/>
        <w:ind w:hanging="648"/>
        <w:jc w:val="both"/>
        <w:rPr>
          <w:rFonts w:cs="Arial"/>
          <w:color w:val="000000"/>
          <w:szCs w:val="20"/>
        </w:rPr>
      </w:pPr>
      <w:r>
        <w:rPr>
          <w:rFonts w:eastAsia="Arial" w:cs="Arial"/>
          <w:color w:val="000000"/>
          <w:szCs w:val="20"/>
        </w:rPr>
        <w:t xml:space="preserve">A indicação dos sindicatos, acordos coletivos, convenções coletivas ou sentenças normativas que regem as categorias profissionais que executarão o </w:t>
      </w:r>
      <w:r>
        <w:rPr>
          <w:rFonts w:eastAsia="Arial" w:cs="Arial"/>
          <w:color w:val="000000"/>
          <w:szCs w:val="20"/>
        </w:rPr>
        <w:lastRenderedPageBreak/>
        <w:t>serviço e as respectivas datas bases e vigências, com base na Classificação Brasileira de Ocupações - CBO;</w:t>
      </w:r>
    </w:p>
    <w:p w:rsidR="00EF71EB" w:rsidRDefault="00EF71EB" w:rsidP="009D75B9">
      <w:pPr>
        <w:numPr>
          <w:ilvl w:val="3"/>
          <w:numId w:val="19"/>
        </w:numPr>
        <w:pBdr>
          <w:top w:val="nil"/>
          <w:left w:val="nil"/>
          <w:bottom w:val="nil"/>
          <w:right w:val="nil"/>
          <w:between w:val="nil"/>
        </w:pBdr>
        <w:tabs>
          <w:tab w:val="left" w:pos="1440"/>
        </w:tabs>
        <w:spacing w:line="276" w:lineRule="auto"/>
        <w:ind w:hanging="648"/>
        <w:jc w:val="both"/>
        <w:rPr>
          <w:rFonts w:cs="Arial"/>
          <w:color w:val="000000"/>
          <w:szCs w:val="20"/>
        </w:rPr>
      </w:pPr>
      <w:bookmarkStart w:id="3" w:name="_heading=h.3znysh7" w:colFirst="0" w:colLast="0"/>
      <w:bookmarkEnd w:id="3"/>
      <w:r>
        <w:rPr>
          <w:rFonts w:eastAsia="Arial" w:cs="Arial"/>
          <w:color w:val="000000"/>
          <w:szCs w:val="20"/>
        </w:rPr>
        <w:t>Produtividade adotada e, se esta for diferente daquela utilizada pela Administração como referência, ou não estiver contida na faixa referencial de produtividade, mas admitida pelo ato convocatório, a respectiva comprovação de exequibilidade;</w:t>
      </w:r>
    </w:p>
    <w:p w:rsidR="00EF71EB" w:rsidRDefault="00EF71EB" w:rsidP="009D75B9">
      <w:pPr>
        <w:numPr>
          <w:ilvl w:val="3"/>
          <w:numId w:val="19"/>
        </w:numPr>
        <w:pBdr>
          <w:top w:val="nil"/>
          <w:left w:val="nil"/>
          <w:bottom w:val="nil"/>
          <w:right w:val="nil"/>
          <w:between w:val="nil"/>
        </w:pBdr>
        <w:tabs>
          <w:tab w:val="left" w:pos="1440"/>
        </w:tabs>
        <w:spacing w:after="120" w:line="276" w:lineRule="auto"/>
        <w:ind w:hanging="648"/>
        <w:jc w:val="both"/>
        <w:rPr>
          <w:rFonts w:cs="Arial"/>
          <w:color w:val="000000"/>
          <w:szCs w:val="20"/>
        </w:rPr>
      </w:pPr>
      <w:r>
        <w:rPr>
          <w:rFonts w:eastAsia="Arial" w:cs="Arial"/>
          <w:color w:val="000000"/>
          <w:szCs w:val="20"/>
        </w:rPr>
        <w:t xml:space="preserve">A quantidade de pessoal que será alocado na execução contratual; </w:t>
      </w:r>
    </w:p>
    <w:p w:rsidR="00EF71EB" w:rsidRDefault="00EF71EB" w:rsidP="009D75B9">
      <w:pPr>
        <w:numPr>
          <w:ilvl w:val="1"/>
          <w:numId w:val="19"/>
        </w:numPr>
        <w:spacing w:before="120" w:after="120" w:line="276" w:lineRule="auto"/>
        <w:ind w:left="425" w:firstLine="0"/>
        <w:jc w:val="both"/>
      </w:pPr>
      <w:r>
        <w:t>Os licitantes poderão apresentar produtividades diferenciadas daquela estabelecida pela Administração como referência, nos termos do item 6.1.2.2, desde que não alterem o objeto da contratação, não contrariem dispositivos legais vigentes e, caso não estejam contidas nas faixas referenciais de produtividade, comprovem a exequibilidade da proposta.</w:t>
      </w:r>
    </w:p>
    <w:p w:rsidR="00EF71EB" w:rsidRDefault="00EF71EB" w:rsidP="009D75B9">
      <w:pPr>
        <w:numPr>
          <w:ilvl w:val="1"/>
          <w:numId w:val="19"/>
        </w:numPr>
        <w:spacing w:before="120" w:after="120" w:line="276" w:lineRule="auto"/>
        <w:ind w:left="425" w:firstLine="0"/>
        <w:jc w:val="both"/>
      </w:pPr>
      <w:r>
        <w:t xml:space="preserve">Para efeito do subitem anterior, admite-se a adequação técnica da metodologia empregada pela contratada, visando assegurar a execução do objeto, desde que mantidas as condições para a justa remuneração do serviço. </w:t>
      </w:r>
    </w:p>
    <w:p w:rsidR="00EF71EB" w:rsidRDefault="00EF71EB" w:rsidP="009D75B9">
      <w:pPr>
        <w:numPr>
          <w:ilvl w:val="1"/>
          <w:numId w:val="19"/>
        </w:numPr>
        <w:spacing w:before="120" w:after="120" w:line="276" w:lineRule="auto"/>
        <w:ind w:left="425" w:firstLine="0"/>
        <w:jc w:val="both"/>
      </w:pPr>
      <w:r>
        <w:t>Todas as especificações do objeto contidas na proposta vinculam a Contratada.</w:t>
      </w:r>
    </w:p>
    <w:p w:rsidR="00EF71EB" w:rsidRDefault="00EF71EB" w:rsidP="009D75B9">
      <w:pPr>
        <w:numPr>
          <w:ilvl w:val="1"/>
          <w:numId w:val="19"/>
        </w:numPr>
        <w:spacing w:before="120" w:after="120" w:line="276" w:lineRule="auto"/>
        <w:ind w:left="425" w:firstLine="0"/>
        <w:jc w:val="both"/>
        <w:rPr>
          <w:color w:val="000000"/>
        </w:rPr>
      </w:pPr>
      <w:r>
        <w:rPr>
          <w:color w:val="000000"/>
        </w:rPr>
        <w:t xml:space="preserve">Nos valores propostos estarão inclusos todos os custos operacionais, encargos previdenciários, trabalhistas, tributários, comerciais e quaisquer outros que incidam direta ou </w:t>
      </w:r>
      <w:r>
        <w:t>indiretamente</w:t>
      </w:r>
      <w:r>
        <w:rPr>
          <w:color w:val="000000"/>
        </w:rPr>
        <w:t xml:space="preserve"> na prestação dos serviços, </w:t>
      </w:r>
      <w:r>
        <w:t>apurados mediante o preenchimento do modelo de Planilha de Custos e Formação de Preços, conforme anexo deste Edital;</w:t>
      </w:r>
    </w:p>
    <w:p w:rsidR="00EF71EB" w:rsidRDefault="00EF71EB" w:rsidP="009D75B9">
      <w:pPr>
        <w:numPr>
          <w:ilvl w:val="2"/>
          <w:numId w:val="19"/>
        </w:numPr>
        <w:pBdr>
          <w:top w:val="nil"/>
          <w:left w:val="nil"/>
          <w:bottom w:val="nil"/>
          <w:right w:val="nil"/>
          <w:between w:val="nil"/>
        </w:pBdr>
        <w:tabs>
          <w:tab w:val="left" w:pos="1440"/>
        </w:tabs>
        <w:spacing w:before="120" w:line="276" w:lineRule="auto"/>
        <w:jc w:val="both"/>
        <w:rPr>
          <w:rFonts w:cs="Arial"/>
          <w:color w:val="000000"/>
          <w:szCs w:val="20"/>
        </w:rPr>
      </w:pPr>
      <w:r>
        <w:rPr>
          <w:rFonts w:eastAsia="Arial" w:cs="Arial"/>
          <w:color w:val="000000"/>
          <w:szCs w:val="20"/>
        </w:rPr>
        <w:t>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§1° do artigo 57 da Lei n° 8.666, de 1993.</w:t>
      </w:r>
    </w:p>
    <w:p w:rsidR="00EF71EB" w:rsidRDefault="00EF71EB" w:rsidP="009D75B9">
      <w:pPr>
        <w:numPr>
          <w:ilvl w:val="2"/>
          <w:numId w:val="19"/>
        </w:numPr>
        <w:pBdr>
          <w:top w:val="nil"/>
          <w:left w:val="nil"/>
          <w:bottom w:val="nil"/>
          <w:right w:val="nil"/>
          <w:between w:val="nil"/>
        </w:pBdr>
        <w:tabs>
          <w:tab w:val="left" w:pos="1440"/>
        </w:tabs>
        <w:spacing w:line="276" w:lineRule="auto"/>
        <w:jc w:val="both"/>
        <w:rPr>
          <w:rFonts w:cs="Arial"/>
          <w:color w:val="000000"/>
          <w:szCs w:val="20"/>
        </w:rPr>
      </w:pPr>
      <w:r>
        <w:rPr>
          <w:rFonts w:eastAsia="Arial" w:cs="Arial"/>
          <w:color w:val="000000"/>
          <w:szCs w:val="20"/>
        </w:rPr>
        <w:t xml:space="preserve">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 8.666/93 e nos termos do art. 63, §2° da IN SEGES/MP n.5/2017. </w:t>
      </w:r>
    </w:p>
    <w:p w:rsidR="00EF71EB" w:rsidRDefault="00EF71EB" w:rsidP="009D75B9">
      <w:pPr>
        <w:numPr>
          <w:ilvl w:val="2"/>
          <w:numId w:val="19"/>
        </w:numPr>
        <w:pBdr>
          <w:top w:val="nil"/>
          <w:left w:val="nil"/>
          <w:bottom w:val="nil"/>
          <w:right w:val="nil"/>
          <w:between w:val="nil"/>
        </w:pBdr>
        <w:tabs>
          <w:tab w:val="left" w:pos="1440"/>
        </w:tabs>
        <w:spacing w:after="120" w:line="276" w:lineRule="auto"/>
        <w:jc w:val="both"/>
        <w:rPr>
          <w:rFonts w:cs="Arial"/>
          <w:color w:val="000000"/>
          <w:szCs w:val="20"/>
        </w:rPr>
      </w:pPr>
      <w:r>
        <w:rPr>
          <w:rFonts w:eastAsia="Arial" w:cs="Arial"/>
          <w:color w:val="000000"/>
          <w:szCs w:val="20"/>
        </w:rPr>
        <w:t>A proposta apresentada deverá contemplar o valor total dos custos da contratação, inclusive aqueles estimados para as ocorrências de fatos geradores.</w:t>
      </w:r>
    </w:p>
    <w:p w:rsidR="00EF71EB" w:rsidRDefault="00EF71EB" w:rsidP="009D75B9">
      <w:pPr>
        <w:numPr>
          <w:ilvl w:val="1"/>
          <w:numId w:val="19"/>
        </w:numPr>
        <w:spacing w:before="120" w:after="120" w:line="276" w:lineRule="auto"/>
        <w:ind w:left="496" w:firstLine="0"/>
        <w:jc w:val="both"/>
      </w:pPr>
      <w:r>
        <w:t>A empresa é a única responsável pela cotação correta dos encargos tributários. Em caso de erro ou cotação incompatível com o regime tributário a que se submete, serão adotadas as orientações a seguir:</w:t>
      </w:r>
    </w:p>
    <w:p w:rsidR="00EF71EB" w:rsidRDefault="00EF71EB" w:rsidP="009D75B9">
      <w:pPr>
        <w:numPr>
          <w:ilvl w:val="2"/>
          <w:numId w:val="19"/>
        </w:numPr>
        <w:spacing w:before="120" w:after="120" w:line="276" w:lineRule="auto"/>
        <w:jc w:val="both"/>
      </w:pPr>
      <w:r>
        <w:t>cotação de percentual menor que o adequado: o percentual será mantido durante toda a execução contratual;</w:t>
      </w:r>
    </w:p>
    <w:p w:rsidR="00EF71EB" w:rsidRDefault="00EF71EB" w:rsidP="009D75B9">
      <w:pPr>
        <w:numPr>
          <w:ilvl w:val="2"/>
          <w:numId w:val="19"/>
        </w:numPr>
        <w:spacing w:before="120" w:after="120" w:line="276" w:lineRule="auto"/>
        <w:jc w:val="both"/>
      </w:pPr>
      <w:r>
        <w:lastRenderedPageBreak/>
        <w:t>cotação de percentual maior que o adequado: o excesso será suprimido, unilateralmente, da planilha e haverá glosa, quando do pagamento,e/ou redução, quando da repactuação, para fins de total ressarcimento do débito.</w:t>
      </w:r>
    </w:p>
    <w:p w:rsidR="00EF71EB" w:rsidRDefault="00EF71EB" w:rsidP="009D75B9">
      <w:pPr>
        <w:numPr>
          <w:ilvl w:val="1"/>
          <w:numId w:val="19"/>
        </w:numPr>
        <w:spacing w:before="120" w:after="120" w:line="276" w:lineRule="auto"/>
        <w:ind w:left="496" w:firstLine="0"/>
        <w:jc w:val="both"/>
      </w:pPr>
      <w:r>
        <w:t xml:space="preserve">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 </w:t>
      </w:r>
    </w:p>
    <w:p w:rsidR="00EF71EB" w:rsidRDefault="00EF71EB" w:rsidP="009D75B9">
      <w:pPr>
        <w:numPr>
          <w:ilvl w:val="1"/>
          <w:numId w:val="19"/>
        </w:numPr>
        <w:spacing w:before="120" w:after="120" w:line="276" w:lineRule="auto"/>
        <w:ind w:left="496" w:firstLine="0"/>
        <w:jc w:val="both"/>
      </w:pPr>
      <w:r>
        <w:t>Independentemente do percentual de tributo inserido na planilha, no pagamento dos serviços, serão retidos na fonte os percentuais estabelecidos na legislação vigente.</w:t>
      </w:r>
    </w:p>
    <w:p w:rsidR="00EF71EB" w:rsidRDefault="00EF71EB" w:rsidP="009D75B9">
      <w:pPr>
        <w:numPr>
          <w:ilvl w:val="1"/>
          <w:numId w:val="19"/>
        </w:numPr>
        <w:spacing w:before="120" w:after="120" w:line="276" w:lineRule="auto"/>
        <w:ind w:left="496" w:firstLine="0"/>
        <w:jc w:val="both"/>
      </w:pPr>
      <w:r>
        <w:t>Na presente licitação, a Microempresa e a Empresa de Pequeno Porte não poderão se beneficiar do regime de tributação pelo Simples Nacional, visto que os serviços serão prestados com disponibilização de trabalhadores em dedicação exclusiva de mão de obra, o que configura cessão de mão de obra para fins tributários, conforme art. 17, inciso XII, da Lei Complementar no 123/2006.</w:t>
      </w:r>
    </w:p>
    <w:p w:rsidR="00EF71EB" w:rsidRDefault="00EF71EB" w:rsidP="009D75B9">
      <w:pPr>
        <w:numPr>
          <w:ilvl w:val="1"/>
          <w:numId w:val="19"/>
        </w:numPr>
        <w:spacing w:before="120" w:after="120" w:line="276" w:lineRule="auto"/>
        <w:ind w:left="496" w:firstLine="0"/>
        <w:jc w:val="both"/>
      </w:pPr>
      <w:r>
        <w:t>A apresentação das propostas implica obrigatoriedade do cumprimento das disposições nelas contidas, em conformidade com o que dispõe o Termo de Referência,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rsidR="00EF71EB" w:rsidRDefault="00EF71EB" w:rsidP="009D75B9">
      <w:pPr>
        <w:numPr>
          <w:ilvl w:val="1"/>
          <w:numId w:val="19"/>
        </w:numPr>
        <w:spacing w:before="120" w:after="120" w:line="276" w:lineRule="auto"/>
        <w:ind w:left="496" w:firstLine="0"/>
        <w:jc w:val="both"/>
      </w:pPr>
      <w:r>
        <w:t>Os preços ofertados, tanto na proposta inicial, quanto na etapa de lances, serão de exclusiva responsabilidade do licitante, não lhe assistindo o direito de pleitear qualquer alteração, sob alegação de erro, omissão ou qualquer outro pretexto.</w:t>
      </w:r>
    </w:p>
    <w:p w:rsidR="00EF71EB" w:rsidRDefault="00EF71EB" w:rsidP="009D75B9">
      <w:pPr>
        <w:numPr>
          <w:ilvl w:val="1"/>
          <w:numId w:val="19"/>
        </w:numPr>
        <w:spacing w:before="120" w:after="120" w:line="276" w:lineRule="auto"/>
        <w:ind w:left="496" w:firstLine="0"/>
        <w:jc w:val="both"/>
        <w:rPr>
          <w:color w:val="000000"/>
        </w:rPr>
      </w:pPr>
      <w:r>
        <w:rPr>
          <w:color w:val="000000"/>
        </w:rPr>
        <w:t xml:space="preserve">O prazo de validade da proposta não será </w:t>
      </w:r>
      <w:r>
        <w:t xml:space="preserve">inferior a </w:t>
      </w:r>
      <w:r>
        <w:rPr>
          <w:b/>
        </w:rPr>
        <w:t>180 (cento e oitenta)</w:t>
      </w:r>
      <w:r>
        <w:rPr>
          <w:color w:val="000000"/>
        </w:rPr>
        <w:t xml:space="preserve"> dias</w:t>
      </w:r>
      <w:r>
        <w:rPr>
          <w:b/>
          <w:color w:val="000000"/>
        </w:rPr>
        <w:t>,</w:t>
      </w:r>
      <w:r>
        <w:rPr>
          <w:color w:val="000000"/>
        </w:rPr>
        <w:t xml:space="preserve"> a contar da data de sua apresentação.</w:t>
      </w:r>
    </w:p>
    <w:p w:rsidR="00EF71EB" w:rsidRDefault="00EF71EB" w:rsidP="009D75B9">
      <w:pPr>
        <w:numPr>
          <w:ilvl w:val="1"/>
          <w:numId w:val="19"/>
        </w:numPr>
        <w:spacing w:before="120" w:after="120" w:line="276" w:lineRule="auto"/>
        <w:ind w:left="496" w:firstLine="0"/>
        <w:jc w:val="both"/>
        <w:rPr>
          <w:color w:val="000000"/>
        </w:rPr>
      </w:pPr>
      <w:r>
        <w:rPr>
          <w:color w:val="000000"/>
        </w:rPr>
        <w:t>Os licitantes devem respeitar os preços máximos estabelecidos nas normas de regência de contratações públicas federais, quando participarem de licitações públicas;</w:t>
      </w:r>
    </w:p>
    <w:p w:rsidR="00EF71EB" w:rsidRDefault="00EF71EB" w:rsidP="009D75B9">
      <w:pPr>
        <w:numPr>
          <w:ilvl w:val="2"/>
          <w:numId w:val="19"/>
        </w:numPr>
        <w:spacing w:before="120" w:after="120" w:line="276" w:lineRule="auto"/>
        <w:jc w:val="both"/>
      </w:pPr>
      <w:r>
        <w:rPr>
          <w:color w:val="000000"/>
        </w:rPr>
        <w:t>O descumprimento das regras supramencionadas pela Administração por parte dos contratados pode ensejar a responsabilização pelo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rsidR="00EF71EB" w:rsidRDefault="00EF71EB" w:rsidP="009D75B9">
      <w:pPr>
        <w:keepNext/>
        <w:keepLines/>
        <w:numPr>
          <w:ilvl w:val="0"/>
          <w:numId w:val="19"/>
        </w:numPr>
        <w:pBdr>
          <w:top w:val="nil"/>
          <w:left w:val="nil"/>
          <w:bottom w:val="nil"/>
          <w:right w:val="nil"/>
          <w:between w:val="nil"/>
        </w:pBdr>
        <w:spacing w:before="480" w:after="120" w:line="276" w:lineRule="auto"/>
        <w:ind w:right="-15"/>
        <w:jc w:val="both"/>
        <w:rPr>
          <w:rFonts w:cs="Arial"/>
          <w:b/>
          <w:color w:val="000000"/>
          <w:szCs w:val="20"/>
        </w:rPr>
      </w:pPr>
      <w:r>
        <w:rPr>
          <w:rFonts w:eastAsia="Arial" w:cs="Arial"/>
          <w:b/>
          <w:color w:val="000000"/>
          <w:szCs w:val="20"/>
        </w:rPr>
        <w:lastRenderedPageBreak/>
        <w:t xml:space="preserve"> DA ABERTURA DA SESSÃO, CLASSIFICAÇÃO DAS PROPOSTAS E FORMULAÇÃO DE LANCES</w:t>
      </w:r>
    </w:p>
    <w:p w:rsidR="00EF71EB" w:rsidRDefault="00EF71EB" w:rsidP="009D75B9">
      <w:pPr>
        <w:numPr>
          <w:ilvl w:val="1"/>
          <w:numId w:val="20"/>
        </w:numPr>
        <w:pBdr>
          <w:top w:val="nil"/>
          <w:left w:val="nil"/>
          <w:bottom w:val="nil"/>
          <w:right w:val="nil"/>
          <w:between w:val="nil"/>
        </w:pBdr>
        <w:spacing w:before="120" w:after="120" w:line="276" w:lineRule="auto"/>
        <w:ind w:left="782" w:hanging="357"/>
        <w:jc w:val="both"/>
        <w:rPr>
          <w:rFonts w:cs="Arial"/>
          <w:color w:val="000000"/>
          <w:szCs w:val="20"/>
        </w:rPr>
      </w:pPr>
      <w:r>
        <w:rPr>
          <w:rFonts w:eastAsia="Arial" w:cs="Arial"/>
          <w:color w:val="000000"/>
          <w:szCs w:val="20"/>
        </w:rPr>
        <w:t>A abertura da presente licitação dar-se-á em sessão pública, por meio de sistema eletrônico, na data, horário e local indicados neste Edital.</w:t>
      </w:r>
    </w:p>
    <w:p w:rsidR="00EF71EB" w:rsidRDefault="00EF71EB" w:rsidP="009D75B9">
      <w:pPr>
        <w:numPr>
          <w:ilvl w:val="1"/>
          <w:numId w:val="20"/>
        </w:numPr>
        <w:pBdr>
          <w:top w:val="nil"/>
          <w:left w:val="nil"/>
          <w:bottom w:val="nil"/>
          <w:right w:val="nil"/>
          <w:between w:val="nil"/>
        </w:pBdr>
        <w:shd w:val="clear" w:color="auto" w:fill="FFFFFF"/>
        <w:spacing w:before="120" w:after="120" w:line="276" w:lineRule="auto"/>
        <w:ind w:left="782" w:hanging="357"/>
        <w:jc w:val="both"/>
        <w:rPr>
          <w:rFonts w:cs="Arial"/>
          <w:color w:val="000000"/>
          <w:szCs w:val="20"/>
        </w:rPr>
      </w:pPr>
      <w:r>
        <w:rPr>
          <w:rFonts w:eastAsia="Arial" w:cs="Arial"/>
          <w:color w:val="000000"/>
          <w:szCs w:val="20"/>
        </w:rPr>
        <w:t xml:space="preserve">O Pregoeiro verificará as propostas apresentadas, desclassificando desde logo aquelas que não estejam em conformidade com os requisitos estabelecidos neste Edital, contenham vícios insanáveis, ilegalidades, ou não apresentem as especificações exigidas no Termo de Referência. </w:t>
      </w:r>
    </w:p>
    <w:p w:rsidR="00EF71EB" w:rsidRDefault="00EF71EB" w:rsidP="009D75B9">
      <w:pPr>
        <w:numPr>
          <w:ilvl w:val="2"/>
          <w:numId w:val="20"/>
        </w:numPr>
        <w:pBdr>
          <w:top w:val="nil"/>
          <w:left w:val="nil"/>
          <w:bottom w:val="nil"/>
          <w:right w:val="nil"/>
          <w:between w:val="nil"/>
        </w:pBdr>
        <w:shd w:val="clear" w:color="auto" w:fill="FFFFFF"/>
        <w:spacing w:before="120" w:after="120" w:line="276" w:lineRule="auto"/>
        <w:jc w:val="both"/>
        <w:rPr>
          <w:rFonts w:cs="Arial"/>
          <w:color w:val="000000"/>
          <w:szCs w:val="20"/>
        </w:rPr>
      </w:pPr>
      <w:r>
        <w:rPr>
          <w:rFonts w:eastAsia="Arial" w:cs="Arial"/>
          <w:color w:val="000000"/>
          <w:szCs w:val="20"/>
        </w:rPr>
        <w:t>Também será desclassificada a proposta que identifique o licitante.</w:t>
      </w:r>
    </w:p>
    <w:p w:rsidR="00EF71EB" w:rsidRDefault="00EF71EB" w:rsidP="009D75B9">
      <w:pPr>
        <w:numPr>
          <w:ilvl w:val="2"/>
          <w:numId w:val="20"/>
        </w:numPr>
        <w:pBdr>
          <w:top w:val="nil"/>
          <w:left w:val="nil"/>
          <w:bottom w:val="nil"/>
          <w:right w:val="nil"/>
          <w:between w:val="nil"/>
        </w:pBdr>
        <w:shd w:val="clear" w:color="auto" w:fill="FFFFFF"/>
        <w:spacing w:before="120" w:after="120" w:line="276" w:lineRule="auto"/>
        <w:jc w:val="both"/>
        <w:rPr>
          <w:rFonts w:cs="Arial"/>
          <w:color w:val="000000"/>
          <w:szCs w:val="20"/>
        </w:rPr>
      </w:pPr>
      <w:r>
        <w:rPr>
          <w:rFonts w:eastAsia="Arial" w:cs="Arial"/>
          <w:color w:val="000000"/>
          <w:szCs w:val="20"/>
        </w:rPr>
        <w:t>A desclassificação será sempre fundamentada e registrada no sistema, com acompanhamento em tempo real por todos os participantes.</w:t>
      </w:r>
    </w:p>
    <w:p w:rsidR="00EF71EB" w:rsidRDefault="00EF71EB" w:rsidP="009D75B9">
      <w:pPr>
        <w:numPr>
          <w:ilvl w:val="2"/>
          <w:numId w:val="20"/>
        </w:numPr>
        <w:pBdr>
          <w:top w:val="nil"/>
          <w:left w:val="nil"/>
          <w:bottom w:val="nil"/>
          <w:right w:val="nil"/>
          <w:between w:val="nil"/>
        </w:pBdr>
        <w:shd w:val="clear" w:color="auto" w:fill="FFFFFF"/>
        <w:spacing w:before="120" w:after="120" w:line="276" w:lineRule="auto"/>
        <w:jc w:val="both"/>
        <w:rPr>
          <w:rFonts w:cs="Arial"/>
          <w:color w:val="000000"/>
          <w:szCs w:val="20"/>
        </w:rPr>
      </w:pPr>
      <w:r>
        <w:rPr>
          <w:rFonts w:eastAsia="Arial" w:cs="Arial"/>
          <w:color w:val="000000"/>
          <w:szCs w:val="20"/>
        </w:rPr>
        <w:t>A não desclassificação da proposta não impede o seu julgamento definitivo em sentido contrário, levado a efeito na fase de aceitação.</w:t>
      </w:r>
    </w:p>
    <w:p w:rsidR="00EF71EB" w:rsidRDefault="00EF71EB" w:rsidP="009D75B9">
      <w:pPr>
        <w:numPr>
          <w:ilvl w:val="1"/>
          <w:numId w:val="20"/>
        </w:numPr>
        <w:pBdr>
          <w:top w:val="nil"/>
          <w:left w:val="nil"/>
          <w:bottom w:val="nil"/>
          <w:right w:val="nil"/>
          <w:between w:val="nil"/>
        </w:pBdr>
        <w:shd w:val="clear" w:color="auto" w:fill="FFFFFF"/>
        <w:spacing w:before="120" w:after="120" w:line="276" w:lineRule="auto"/>
        <w:jc w:val="both"/>
        <w:rPr>
          <w:rFonts w:cs="Arial"/>
          <w:color w:val="000000"/>
          <w:szCs w:val="20"/>
        </w:rPr>
      </w:pPr>
      <w:r>
        <w:rPr>
          <w:rFonts w:eastAsia="Arial" w:cs="Arial"/>
          <w:color w:val="000000"/>
          <w:szCs w:val="20"/>
        </w:rPr>
        <w:t>O sistema ordenará automaticamente as propostas classificadas, sendo que somente estas participarão da fase de lances.</w:t>
      </w:r>
    </w:p>
    <w:p w:rsidR="00EF71EB" w:rsidRDefault="00EF71EB" w:rsidP="009D75B9">
      <w:pPr>
        <w:numPr>
          <w:ilvl w:val="1"/>
          <w:numId w:val="20"/>
        </w:numPr>
        <w:spacing w:before="120" w:after="120" w:line="276" w:lineRule="auto"/>
        <w:ind w:left="425" w:firstLine="0"/>
        <w:jc w:val="both"/>
        <w:rPr>
          <w:color w:val="000000"/>
        </w:rPr>
      </w:pPr>
      <w:r>
        <w:rPr>
          <w:color w:val="000000"/>
        </w:rPr>
        <w:t xml:space="preserve"> O sistema disponibilizará campo próprio para troca de mensagens entre o Pregoeiro e os licitantes.</w:t>
      </w:r>
    </w:p>
    <w:p w:rsidR="00EF71EB" w:rsidRDefault="00EF71EB" w:rsidP="009D75B9">
      <w:pPr>
        <w:numPr>
          <w:ilvl w:val="1"/>
          <w:numId w:val="20"/>
        </w:numPr>
        <w:spacing w:before="120" w:after="120" w:line="276" w:lineRule="auto"/>
        <w:ind w:left="425" w:firstLine="0"/>
        <w:jc w:val="both"/>
        <w:rPr>
          <w:color w:val="000000"/>
        </w:rPr>
      </w:pPr>
      <w:r>
        <w:rPr>
          <w:color w:val="000000"/>
        </w:rPr>
        <w:t xml:space="preserve"> Iniciada a etapa competitiva, os licitantes deverão encaminhar lances exclusivamente por meio de sistema eletrônico, sendo imediatamente informados do seu recebimento e do valor consignado no registro. </w:t>
      </w:r>
    </w:p>
    <w:p w:rsidR="00EF71EB" w:rsidRDefault="00EF71EB" w:rsidP="009D75B9">
      <w:pPr>
        <w:numPr>
          <w:ilvl w:val="2"/>
          <w:numId w:val="20"/>
        </w:numPr>
        <w:tabs>
          <w:tab w:val="left" w:pos="1440"/>
        </w:tabs>
        <w:spacing w:before="120" w:after="120" w:line="276" w:lineRule="auto"/>
        <w:ind w:left="1134" w:firstLine="0"/>
        <w:jc w:val="both"/>
      </w:pPr>
      <w:r>
        <w:t>O lance deverá ser ofertado pelo valor anual do item.</w:t>
      </w:r>
    </w:p>
    <w:p w:rsidR="00EF71EB" w:rsidRDefault="00EF71EB" w:rsidP="009D75B9">
      <w:pPr>
        <w:numPr>
          <w:ilvl w:val="1"/>
          <w:numId w:val="20"/>
        </w:numPr>
        <w:spacing w:before="120" w:after="120" w:line="276" w:lineRule="auto"/>
        <w:jc w:val="both"/>
      </w:pPr>
      <w:r>
        <w:t>Os licitantes poderão oferecer lances sucessivos, observando o horário fixado para abertura da sessão e as regras estabelecidas no Edital.</w:t>
      </w:r>
    </w:p>
    <w:p w:rsidR="00EF71EB" w:rsidRDefault="00EF71EB" w:rsidP="009D75B9">
      <w:pPr>
        <w:numPr>
          <w:ilvl w:val="1"/>
          <w:numId w:val="20"/>
        </w:numPr>
        <w:spacing w:before="120" w:after="120" w:line="276" w:lineRule="auto"/>
        <w:jc w:val="both"/>
      </w:pPr>
      <w:r>
        <w:t xml:space="preserve">O licitante somente poderá oferecer lance de valor inferior ou percentual de desconto superior ao último por ele ofertado e registrado pelo sistema. </w:t>
      </w:r>
    </w:p>
    <w:p w:rsidR="00EF71EB" w:rsidRDefault="00EF71EB" w:rsidP="009D75B9">
      <w:pPr>
        <w:numPr>
          <w:ilvl w:val="1"/>
          <w:numId w:val="20"/>
        </w:numPr>
        <w:spacing w:before="120" w:after="120" w:line="276" w:lineRule="auto"/>
        <w:jc w:val="both"/>
      </w:pPr>
      <w:r>
        <w:t>O intervalo mínimo de diferença de valores ou percentuais entre os lances, que incidirá tanto em relação aos lances intermediários quanto em relação à proposta que cobrir a melhor oferta deverá ser de R$ 0,01 (um centavo).</w:t>
      </w:r>
      <w:r>
        <w:tab/>
      </w:r>
    </w:p>
    <w:p w:rsidR="00EF71EB" w:rsidRDefault="00EF71EB" w:rsidP="009D75B9">
      <w:pPr>
        <w:numPr>
          <w:ilvl w:val="1"/>
          <w:numId w:val="10"/>
        </w:numPr>
        <w:spacing w:before="120" w:after="120" w:line="276" w:lineRule="auto"/>
        <w:jc w:val="both"/>
      </w:pPr>
      <w:r>
        <w:t>Será adotado para o envio de lances no pregão eletrônico o modo de disputa “aberto e fechado”, em que os licitantes apresentarão lances públicos e sucessivos, com lance final e fechado.</w:t>
      </w:r>
    </w:p>
    <w:p w:rsidR="00EF71EB" w:rsidRDefault="00EF71EB" w:rsidP="009D75B9">
      <w:pPr>
        <w:numPr>
          <w:ilvl w:val="1"/>
          <w:numId w:val="10"/>
        </w:numPr>
        <w:spacing w:before="120" w:after="120" w:line="276" w:lineRule="auto"/>
        <w:jc w:val="both"/>
      </w:pPr>
      <w:r>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rsidR="00EF71EB" w:rsidRDefault="00EF71EB" w:rsidP="009D75B9">
      <w:pPr>
        <w:numPr>
          <w:ilvl w:val="1"/>
          <w:numId w:val="10"/>
        </w:numPr>
        <w:spacing w:before="120" w:after="120" w:line="276" w:lineRule="auto"/>
        <w:jc w:val="both"/>
      </w:pPr>
      <w:r>
        <w:t xml:space="preserve">Encerrado o prazo previsto no item anterior, o sistema abrirá oportunidade para que o autor da oferta de valor mais baixo e os das ofertas com preços até dez por cento superiores </w:t>
      </w:r>
      <w:r>
        <w:lastRenderedPageBreak/>
        <w:t>àquela possam ofertar um lance final e fechado em até cinco minutos, o qual será sigiloso até o encerramento deste prazo.</w:t>
      </w:r>
    </w:p>
    <w:p w:rsidR="00EF71EB" w:rsidRDefault="00EF71EB" w:rsidP="009D75B9">
      <w:pPr>
        <w:numPr>
          <w:ilvl w:val="2"/>
          <w:numId w:val="10"/>
        </w:numPr>
        <w:spacing w:before="120" w:after="120" w:line="276" w:lineRule="auto"/>
        <w:jc w:val="both"/>
      </w:pPr>
      <w:r>
        <w:t>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w:t>
      </w:r>
    </w:p>
    <w:p w:rsidR="00EF71EB" w:rsidRDefault="00EF71EB" w:rsidP="009D75B9">
      <w:pPr>
        <w:numPr>
          <w:ilvl w:val="1"/>
          <w:numId w:val="10"/>
        </w:numPr>
        <w:spacing w:before="120" w:after="120" w:line="276" w:lineRule="auto"/>
        <w:jc w:val="both"/>
      </w:pPr>
      <w:r>
        <w:t>Após o término dos prazos estabelecidos nos itens anteriores, o sistema ordenará os lances segundo a ordem crescente de valores.</w:t>
      </w:r>
    </w:p>
    <w:p w:rsidR="00EF71EB" w:rsidRDefault="00EF71EB" w:rsidP="009D75B9">
      <w:pPr>
        <w:numPr>
          <w:ilvl w:val="2"/>
          <w:numId w:val="10"/>
        </w:numPr>
        <w:spacing w:before="120" w:after="120" w:line="276" w:lineRule="auto"/>
        <w:jc w:val="both"/>
      </w:pPr>
      <w:r>
        <w:t>Não havendo lance final e fechado classificado na forma estabelecida nos itens anteriores, haverá o reinício da etapa fechada, para que os demais licitantes, até o máximo de três, na ordem de classificação, possam ofertar um lance final e fechado em até cinco minutos, o qual será sigiloso até o encerramento deste prazo.</w:t>
      </w:r>
    </w:p>
    <w:p w:rsidR="00EF71EB" w:rsidRDefault="00EF71EB" w:rsidP="009D75B9">
      <w:pPr>
        <w:numPr>
          <w:ilvl w:val="1"/>
          <w:numId w:val="10"/>
        </w:numPr>
        <w:spacing w:before="120" w:after="120" w:line="276" w:lineRule="auto"/>
        <w:jc w:val="both"/>
      </w:pPr>
      <w:r>
        <w:t>Poderá o pregoeiro, auxiliado pela equipe de apoio, justificadamente, admitir o reinício da etapa fechada, caso nenhum licitante classificado na etapa de lance fechado atender às exigências de habilitação.</w:t>
      </w:r>
    </w:p>
    <w:p w:rsidR="00EF71EB" w:rsidRDefault="00EF71EB" w:rsidP="009D75B9">
      <w:pPr>
        <w:numPr>
          <w:ilvl w:val="1"/>
          <w:numId w:val="10"/>
        </w:numPr>
        <w:spacing w:before="120" w:after="120" w:line="276" w:lineRule="auto"/>
        <w:jc w:val="both"/>
        <w:rPr>
          <w:color w:val="000000"/>
        </w:rPr>
      </w:pPr>
      <w:r>
        <w:rPr>
          <w:color w:val="000000"/>
        </w:rPr>
        <w:t xml:space="preserve">Não serão aceitos dois ou mais lances de mesmo valor, prevalecendo aquele que for recebido e registrado em </w:t>
      </w:r>
      <w:r>
        <w:t>primeiro</w:t>
      </w:r>
      <w:r>
        <w:rPr>
          <w:color w:val="000000"/>
        </w:rPr>
        <w:t xml:space="preserve"> lugar. </w:t>
      </w:r>
    </w:p>
    <w:p w:rsidR="00EF71EB" w:rsidRDefault="00EF71EB" w:rsidP="009D75B9">
      <w:pPr>
        <w:numPr>
          <w:ilvl w:val="1"/>
          <w:numId w:val="10"/>
        </w:numPr>
        <w:spacing w:before="120" w:after="120" w:line="276" w:lineRule="auto"/>
        <w:jc w:val="both"/>
        <w:rPr>
          <w:color w:val="000000"/>
        </w:rPr>
      </w:pPr>
      <w:r>
        <w:rPr>
          <w:color w:val="000000"/>
        </w:rPr>
        <w:t xml:space="preserve">Durante o transcurso </w:t>
      </w:r>
      <w:r>
        <w:t>da</w:t>
      </w:r>
      <w:r>
        <w:rPr>
          <w:color w:val="000000"/>
        </w:rPr>
        <w:t xml:space="preserve"> sessão pública, os licitantes serão informados, em tempo real, do valor do menor lance registrado, vedada a identificação do licitante. </w:t>
      </w:r>
    </w:p>
    <w:p w:rsidR="00EF71EB" w:rsidRDefault="00EF71EB" w:rsidP="009D75B9">
      <w:pPr>
        <w:numPr>
          <w:ilvl w:val="1"/>
          <w:numId w:val="10"/>
        </w:numPr>
        <w:spacing w:before="120" w:after="120" w:line="276" w:lineRule="auto"/>
        <w:ind w:left="425" w:firstLine="0"/>
        <w:jc w:val="both"/>
        <w:rPr>
          <w:color w:val="000000"/>
        </w:rPr>
      </w:pPr>
      <w:r>
        <w:rPr>
          <w:color w:val="000000"/>
        </w:rPr>
        <w:t>No caso de desconexão com o Pregoeiro, no decorrer da etapa competitiva do Pregão, o sistema eletrônico poderá permanecer acessível aos licitantes para a recepção dos lances.</w:t>
      </w:r>
    </w:p>
    <w:p w:rsidR="00EF71EB" w:rsidRDefault="00EF71EB" w:rsidP="009D75B9">
      <w:pPr>
        <w:numPr>
          <w:ilvl w:val="1"/>
          <w:numId w:val="10"/>
        </w:numPr>
        <w:spacing w:before="120" w:after="120" w:line="276" w:lineRule="auto"/>
        <w:ind w:left="425" w:firstLine="0"/>
        <w:jc w:val="both"/>
        <w:rPr>
          <w:color w:val="000000"/>
        </w:rPr>
      </w:pPr>
      <w:r>
        <w:rPr>
          <w:color w:val="000000"/>
        </w:rPr>
        <w:t xml:space="preserve">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 </w:t>
      </w:r>
    </w:p>
    <w:p w:rsidR="00EF71EB" w:rsidRDefault="00EF71EB" w:rsidP="009D75B9">
      <w:pPr>
        <w:numPr>
          <w:ilvl w:val="1"/>
          <w:numId w:val="10"/>
        </w:numPr>
        <w:spacing w:before="120" w:after="120" w:line="276" w:lineRule="auto"/>
        <w:ind w:left="425" w:firstLine="0"/>
        <w:jc w:val="both"/>
        <w:rPr>
          <w:color w:val="000000"/>
        </w:rPr>
      </w:pPr>
      <w:r>
        <w:rPr>
          <w:color w:val="000000"/>
        </w:rPr>
        <w:t xml:space="preserve">O critério de julgamento adotado será o </w:t>
      </w:r>
      <w:r>
        <w:rPr>
          <w:b/>
        </w:rPr>
        <w:t>menor preço</w:t>
      </w:r>
      <w:r>
        <w:rPr>
          <w:color w:val="000000"/>
        </w:rPr>
        <w:t>, conforme definido neste Edital e seus anexos.</w:t>
      </w:r>
    </w:p>
    <w:p w:rsidR="00EF71EB" w:rsidRDefault="00EF71EB" w:rsidP="009D75B9">
      <w:pPr>
        <w:numPr>
          <w:ilvl w:val="1"/>
          <w:numId w:val="22"/>
        </w:numPr>
        <w:spacing w:before="120" w:after="120" w:line="276" w:lineRule="auto"/>
        <w:jc w:val="both"/>
      </w:pPr>
      <w:r>
        <w:rPr>
          <w:color w:val="000000"/>
        </w:rPr>
        <w:t>Caso o licitante não apresente lances, concorrerá com o valor de sua proposta.</w:t>
      </w:r>
    </w:p>
    <w:p w:rsidR="00EF71EB" w:rsidRDefault="00EF71EB" w:rsidP="009D75B9">
      <w:pPr>
        <w:numPr>
          <w:ilvl w:val="1"/>
          <w:numId w:val="22"/>
        </w:numPr>
        <w:spacing w:before="120" w:after="120" w:line="276" w:lineRule="auto"/>
        <w:ind w:left="425" w:firstLine="0"/>
        <w:jc w:val="both"/>
      </w:pPr>
      <w:r>
        <w:rPr>
          <w:color w:val="000000"/>
        </w:rPr>
        <w:t>Em relação a itens não exclusivos para participação de microempresas e empresas de pequeno porte, uma vez encerrada a etapa de lances</w:t>
      </w:r>
      <w:r>
        <w:t xml:space="preserve">, será efetivada a verificação automática, junto à Receita Federal, do porte da entidade empresarial. O sistema identificará em coluna própria as </w:t>
      </w:r>
      <w:r>
        <w:rPr>
          <w:color w:val="000000"/>
        </w:rPr>
        <w:t>microempresas e empresas de pequeno</w:t>
      </w:r>
      <w:r>
        <w:t xml:space="preserve">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rsidR="00EF71EB" w:rsidRDefault="00EF71EB" w:rsidP="009D75B9">
      <w:pPr>
        <w:numPr>
          <w:ilvl w:val="1"/>
          <w:numId w:val="22"/>
        </w:numPr>
        <w:spacing w:before="120" w:after="120" w:line="276" w:lineRule="auto"/>
        <w:ind w:left="425" w:firstLine="0"/>
        <w:jc w:val="both"/>
        <w:rPr>
          <w:color w:val="000000"/>
        </w:rPr>
      </w:pPr>
      <w:r>
        <w:rPr>
          <w:color w:val="000000"/>
        </w:rPr>
        <w:t>Nessas condições, as propostas de microempresas e empresas de pequeno porte que se encontrarem na faixa de até 5% (cinco por cento) acima da melhor proposta ou melhor lance serão consideradas empatadas com a primeira colocada.</w:t>
      </w:r>
    </w:p>
    <w:p w:rsidR="00EF71EB" w:rsidRDefault="00EF71EB" w:rsidP="009D75B9">
      <w:pPr>
        <w:numPr>
          <w:ilvl w:val="1"/>
          <w:numId w:val="22"/>
        </w:numPr>
        <w:spacing w:before="120" w:after="120" w:line="276" w:lineRule="auto"/>
        <w:ind w:left="425" w:firstLine="0"/>
        <w:jc w:val="both"/>
        <w:rPr>
          <w:color w:val="000000"/>
        </w:rPr>
      </w:pPr>
      <w:r>
        <w:rPr>
          <w:color w:val="000000"/>
        </w:rPr>
        <w:lastRenderedPageBreak/>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EF71EB" w:rsidRDefault="00EF71EB" w:rsidP="009D75B9">
      <w:pPr>
        <w:numPr>
          <w:ilvl w:val="1"/>
          <w:numId w:val="22"/>
        </w:numPr>
        <w:spacing w:before="120" w:after="120" w:line="276" w:lineRule="auto"/>
        <w:ind w:left="425" w:firstLine="0"/>
        <w:jc w:val="both"/>
        <w:rPr>
          <w:color w:val="000000"/>
        </w:rPr>
      </w:pPr>
      <w:r>
        <w:rPr>
          <w:color w:val="000000"/>
        </w:rPr>
        <w:t>Caso a microempresaou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EF71EB" w:rsidRDefault="00EF71EB" w:rsidP="009D75B9">
      <w:pPr>
        <w:numPr>
          <w:ilvl w:val="1"/>
          <w:numId w:val="22"/>
        </w:numPr>
        <w:spacing w:before="120" w:after="120" w:line="276" w:lineRule="auto"/>
        <w:ind w:left="425" w:firstLine="0"/>
        <w:jc w:val="both"/>
        <w:rPr>
          <w:color w:val="000000"/>
        </w:rPr>
      </w:pPr>
      <w:r>
        <w:rPr>
          <w:color w:val="000000"/>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EF71EB" w:rsidRDefault="00EF71EB" w:rsidP="009D75B9">
      <w:pPr>
        <w:numPr>
          <w:ilvl w:val="1"/>
          <w:numId w:val="22"/>
        </w:numPr>
        <w:pBdr>
          <w:top w:val="nil"/>
          <w:left w:val="nil"/>
          <w:bottom w:val="nil"/>
          <w:right w:val="nil"/>
          <w:between w:val="nil"/>
        </w:pBdr>
        <w:tabs>
          <w:tab w:val="left" w:pos="-12"/>
        </w:tabs>
        <w:spacing w:before="120" w:after="120" w:line="276" w:lineRule="auto"/>
        <w:jc w:val="both"/>
        <w:rPr>
          <w:rFonts w:cs="Arial"/>
          <w:color w:val="000000"/>
          <w:szCs w:val="20"/>
        </w:rPr>
      </w:pPr>
      <w:r>
        <w:rPr>
          <w:rFonts w:eastAsia="Arial" w:cs="Arial"/>
          <w:color w:val="000000"/>
          <w:szCs w:val="20"/>
        </w:rPr>
        <w:t>Só poderá haver empate entre propostas iguais (não seguidas de lances), ou entre lances finais da fase fechada do modo de disputa aberto e fechado.</w:t>
      </w:r>
    </w:p>
    <w:p w:rsidR="00EF71EB" w:rsidRDefault="00EF71EB" w:rsidP="009D75B9">
      <w:pPr>
        <w:numPr>
          <w:ilvl w:val="2"/>
          <w:numId w:val="22"/>
        </w:numPr>
        <w:pBdr>
          <w:top w:val="nil"/>
          <w:left w:val="nil"/>
          <w:bottom w:val="nil"/>
          <w:right w:val="nil"/>
          <w:between w:val="nil"/>
        </w:pBdr>
        <w:tabs>
          <w:tab w:val="left" w:pos="-12"/>
        </w:tabs>
        <w:spacing w:before="120" w:after="120" w:line="276" w:lineRule="auto"/>
        <w:jc w:val="both"/>
        <w:rPr>
          <w:rFonts w:cs="Arial"/>
          <w:color w:val="000000"/>
          <w:szCs w:val="20"/>
        </w:rPr>
      </w:pPr>
      <w:r>
        <w:rPr>
          <w:rFonts w:eastAsia="Arial" w:cs="Arial"/>
          <w:color w:val="000000"/>
          <w:szCs w:val="20"/>
        </w:rPr>
        <w:t>Havendo eventual empate entre propostas ou lances, o critério de desempate será aquele previsto no art. 3º, § 2º, da Lei nº 8.666, de 1993, assegurando-se a preferência, sucessivamente, aos serviços:</w:t>
      </w:r>
    </w:p>
    <w:p w:rsidR="00EF71EB" w:rsidRDefault="00EF71EB" w:rsidP="009D75B9">
      <w:pPr>
        <w:numPr>
          <w:ilvl w:val="3"/>
          <w:numId w:val="22"/>
        </w:numPr>
        <w:pBdr>
          <w:top w:val="nil"/>
          <w:left w:val="nil"/>
          <w:bottom w:val="nil"/>
          <w:right w:val="nil"/>
          <w:between w:val="nil"/>
        </w:pBdr>
        <w:tabs>
          <w:tab w:val="left" w:pos="-12"/>
        </w:tabs>
        <w:spacing w:before="120" w:after="120" w:line="276" w:lineRule="auto"/>
        <w:jc w:val="both"/>
        <w:rPr>
          <w:rFonts w:cs="Arial"/>
          <w:color w:val="000000"/>
          <w:szCs w:val="20"/>
        </w:rPr>
      </w:pPr>
      <w:r>
        <w:rPr>
          <w:rFonts w:eastAsia="Arial" w:cs="Arial"/>
          <w:color w:val="000000"/>
          <w:szCs w:val="20"/>
        </w:rPr>
        <w:t xml:space="preserve">prestados por empresas brasileiras; </w:t>
      </w:r>
    </w:p>
    <w:p w:rsidR="00EF71EB" w:rsidRDefault="00EF71EB" w:rsidP="009D75B9">
      <w:pPr>
        <w:numPr>
          <w:ilvl w:val="3"/>
          <w:numId w:val="22"/>
        </w:numPr>
        <w:pBdr>
          <w:top w:val="nil"/>
          <w:left w:val="nil"/>
          <w:bottom w:val="nil"/>
          <w:right w:val="nil"/>
          <w:between w:val="nil"/>
        </w:pBdr>
        <w:tabs>
          <w:tab w:val="left" w:pos="-12"/>
        </w:tabs>
        <w:spacing w:before="120" w:after="120" w:line="276" w:lineRule="auto"/>
        <w:jc w:val="both"/>
        <w:rPr>
          <w:rFonts w:cs="Arial"/>
          <w:color w:val="000000"/>
          <w:szCs w:val="20"/>
        </w:rPr>
      </w:pPr>
      <w:r>
        <w:rPr>
          <w:rFonts w:eastAsia="Arial" w:cs="Arial"/>
          <w:color w:val="000000"/>
          <w:szCs w:val="20"/>
        </w:rPr>
        <w:t>prestados por empresas que invistam em pesquisa e no desenvolvimento de tecnologia no País;</w:t>
      </w:r>
    </w:p>
    <w:p w:rsidR="00EF71EB" w:rsidRDefault="00EF71EB" w:rsidP="009D75B9">
      <w:pPr>
        <w:numPr>
          <w:ilvl w:val="3"/>
          <w:numId w:val="22"/>
        </w:numPr>
        <w:pBdr>
          <w:top w:val="nil"/>
          <w:left w:val="nil"/>
          <w:bottom w:val="nil"/>
          <w:right w:val="nil"/>
          <w:between w:val="nil"/>
        </w:pBdr>
        <w:tabs>
          <w:tab w:val="left" w:pos="-12"/>
        </w:tabs>
        <w:spacing w:before="120" w:after="120" w:line="276" w:lineRule="auto"/>
        <w:jc w:val="both"/>
        <w:rPr>
          <w:rFonts w:cs="Arial"/>
          <w:color w:val="000000"/>
          <w:szCs w:val="20"/>
        </w:rPr>
      </w:pPr>
      <w:r>
        <w:rPr>
          <w:rFonts w:eastAsia="Arial" w:cs="Arial"/>
          <w:color w:val="000000"/>
          <w:szCs w:val="20"/>
        </w:rPr>
        <w:t>prestados por empresas que comprovem cumprimento de reserva de cargos prevista em lei para pessoa com deficiência ou para reabilitado da Previdência Social e que atendam às regras de acessibilidade previstas na legislação.</w:t>
      </w:r>
    </w:p>
    <w:p w:rsidR="00EF71EB" w:rsidRDefault="00EF71EB" w:rsidP="009D75B9">
      <w:pPr>
        <w:numPr>
          <w:ilvl w:val="1"/>
          <w:numId w:val="22"/>
        </w:numPr>
        <w:pBdr>
          <w:top w:val="nil"/>
          <w:left w:val="nil"/>
          <w:bottom w:val="nil"/>
          <w:right w:val="nil"/>
          <w:between w:val="nil"/>
        </w:pBdr>
        <w:tabs>
          <w:tab w:val="left" w:pos="-12"/>
        </w:tabs>
        <w:spacing w:before="120" w:after="120" w:line="276" w:lineRule="auto"/>
        <w:jc w:val="both"/>
        <w:rPr>
          <w:rFonts w:cs="Arial"/>
          <w:color w:val="000000"/>
          <w:szCs w:val="20"/>
        </w:rPr>
      </w:pPr>
      <w:r>
        <w:rPr>
          <w:rFonts w:eastAsia="Arial" w:cs="Arial"/>
          <w:color w:val="000000"/>
          <w:szCs w:val="20"/>
        </w:rPr>
        <w:t xml:space="preserve">Persistindo o empate, a proposta vencedora será sorteada pelo sistema eletrônico dentre as propostas ou os lances empatados. </w:t>
      </w:r>
    </w:p>
    <w:p w:rsidR="00EF71EB" w:rsidRDefault="00EF71EB" w:rsidP="009D75B9">
      <w:pPr>
        <w:numPr>
          <w:ilvl w:val="1"/>
          <w:numId w:val="22"/>
        </w:numPr>
        <w:pBdr>
          <w:top w:val="nil"/>
          <w:left w:val="nil"/>
          <w:bottom w:val="nil"/>
          <w:right w:val="nil"/>
          <w:between w:val="nil"/>
        </w:pBdr>
        <w:tabs>
          <w:tab w:val="left" w:pos="-12"/>
        </w:tabs>
        <w:spacing w:before="120" w:after="120" w:line="276" w:lineRule="auto"/>
        <w:jc w:val="both"/>
        <w:rPr>
          <w:rFonts w:cs="Arial"/>
          <w:color w:val="000000"/>
          <w:szCs w:val="20"/>
        </w:rPr>
      </w:pPr>
      <w:r>
        <w:rPr>
          <w:rFonts w:eastAsia="Arial" w:cs="Arial"/>
          <w:color w:val="000000"/>
          <w:szCs w:val="20"/>
        </w:rPr>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rsidR="00EF71EB" w:rsidRDefault="00EF71EB" w:rsidP="009D75B9">
      <w:pPr>
        <w:numPr>
          <w:ilvl w:val="2"/>
          <w:numId w:val="22"/>
        </w:numPr>
        <w:pBdr>
          <w:top w:val="nil"/>
          <w:left w:val="nil"/>
          <w:bottom w:val="nil"/>
          <w:right w:val="nil"/>
          <w:between w:val="nil"/>
        </w:pBdr>
        <w:tabs>
          <w:tab w:val="left" w:pos="-12"/>
        </w:tabs>
        <w:spacing w:before="120" w:after="120" w:line="276" w:lineRule="auto"/>
        <w:jc w:val="both"/>
        <w:rPr>
          <w:rFonts w:cs="Arial"/>
          <w:color w:val="000000"/>
          <w:szCs w:val="20"/>
        </w:rPr>
      </w:pPr>
      <w:r>
        <w:rPr>
          <w:rFonts w:eastAsia="Arial" w:cs="Arial"/>
          <w:color w:val="000000"/>
          <w:szCs w:val="20"/>
        </w:rPr>
        <w:t>A negociação será realizada por meio do sistema, podendo ser acompanhada pelos demais licitantes.</w:t>
      </w:r>
    </w:p>
    <w:p w:rsidR="00EF71EB" w:rsidRDefault="00EF71EB" w:rsidP="009D75B9">
      <w:pPr>
        <w:numPr>
          <w:ilvl w:val="2"/>
          <w:numId w:val="22"/>
        </w:numPr>
        <w:pBdr>
          <w:top w:val="nil"/>
          <w:left w:val="nil"/>
          <w:bottom w:val="nil"/>
          <w:right w:val="nil"/>
          <w:between w:val="nil"/>
        </w:pBdr>
        <w:tabs>
          <w:tab w:val="left" w:pos="-12"/>
        </w:tabs>
        <w:spacing w:before="120" w:after="120" w:line="276" w:lineRule="auto"/>
        <w:jc w:val="both"/>
        <w:rPr>
          <w:rFonts w:cs="Arial"/>
          <w:color w:val="000000"/>
          <w:szCs w:val="20"/>
        </w:rPr>
      </w:pPr>
      <w:r>
        <w:rPr>
          <w:rFonts w:eastAsia="Arial" w:cs="Arial"/>
          <w:color w:val="000000"/>
          <w:szCs w:val="20"/>
        </w:rPr>
        <w:t>O pregoeiro solicitará ao licitante melhor classificado que, no prazo de 02 (duas)</w:t>
      </w:r>
      <w:r>
        <w:rPr>
          <w:rFonts w:eastAsia="Arial" w:cs="Arial"/>
          <w:color w:val="FF0000"/>
          <w:szCs w:val="20"/>
        </w:rPr>
        <w:t xml:space="preserve"> </w:t>
      </w:r>
      <w:r>
        <w:rPr>
          <w:rFonts w:eastAsia="Arial" w:cs="Arial"/>
          <w:color w:val="000000"/>
          <w:szCs w:val="20"/>
        </w:rPr>
        <w:t xml:space="preserve">horas, envie a proposta adequada ao último lance ofertado após a negociação realizada, acompanhada, se for o caso, dos documentos complementares, quando necessários à confirmação daqueles exigidos neste Edital e já apresentados. </w:t>
      </w:r>
    </w:p>
    <w:p w:rsidR="00EF71EB" w:rsidRDefault="00EF71EB" w:rsidP="009D75B9">
      <w:pPr>
        <w:numPr>
          <w:ilvl w:val="1"/>
          <w:numId w:val="22"/>
        </w:numPr>
        <w:pBdr>
          <w:top w:val="nil"/>
          <w:left w:val="nil"/>
          <w:bottom w:val="nil"/>
          <w:right w:val="nil"/>
          <w:between w:val="nil"/>
        </w:pBdr>
        <w:tabs>
          <w:tab w:val="left" w:pos="-12"/>
        </w:tabs>
        <w:spacing w:before="120" w:after="120" w:line="276" w:lineRule="auto"/>
        <w:jc w:val="both"/>
        <w:rPr>
          <w:rFonts w:cs="Arial"/>
          <w:color w:val="000000"/>
          <w:szCs w:val="20"/>
        </w:rPr>
      </w:pPr>
      <w:r>
        <w:rPr>
          <w:rFonts w:eastAsia="Arial" w:cs="Arial"/>
          <w:color w:val="000000"/>
          <w:szCs w:val="20"/>
        </w:rPr>
        <w:t>Após a negociação do preço, o Pregoeiro iniciará a fase de aceitação e julgamento da proposta.</w:t>
      </w:r>
    </w:p>
    <w:p w:rsidR="00EF71EB" w:rsidRDefault="00EF71EB" w:rsidP="009D75B9">
      <w:pPr>
        <w:keepNext/>
        <w:keepLines/>
        <w:numPr>
          <w:ilvl w:val="0"/>
          <w:numId w:val="19"/>
        </w:numPr>
        <w:pBdr>
          <w:top w:val="nil"/>
          <w:left w:val="nil"/>
          <w:bottom w:val="nil"/>
          <w:right w:val="nil"/>
          <w:between w:val="nil"/>
        </w:pBdr>
        <w:spacing w:before="480" w:after="120" w:line="276" w:lineRule="auto"/>
        <w:ind w:right="-15"/>
        <w:jc w:val="both"/>
        <w:rPr>
          <w:rFonts w:cs="Arial"/>
          <w:b/>
          <w:color w:val="000000"/>
          <w:szCs w:val="20"/>
        </w:rPr>
      </w:pPr>
      <w:r>
        <w:rPr>
          <w:rFonts w:eastAsia="Arial" w:cs="Arial"/>
          <w:b/>
          <w:color w:val="000000"/>
          <w:szCs w:val="20"/>
        </w:rPr>
        <w:lastRenderedPageBreak/>
        <w:t>DA ACEITABILIDADE DA PROPOSTA VENCEDORA.</w:t>
      </w:r>
    </w:p>
    <w:p w:rsidR="00EF71EB" w:rsidRDefault="00EF71EB" w:rsidP="009D75B9">
      <w:pPr>
        <w:numPr>
          <w:ilvl w:val="1"/>
          <w:numId w:val="21"/>
        </w:numPr>
        <w:spacing w:before="120" w:after="120" w:line="276" w:lineRule="auto"/>
        <w:ind w:right="-15"/>
        <w:jc w:val="both"/>
        <w:rPr>
          <w:color w:val="000000"/>
        </w:rPr>
      </w:pPr>
      <w:r>
        <w:rPr>
          <w:color w:val="000000"/>
        </w:rPr>
        <w:t>Encerrada 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EF71EB" w:rsidRDefault="00EF71EB" w:rsidP="009D75B9">
      <w:pPr>
        <w:numPr>
          <w:ilvl w:val="1"/>
          <w:numId w:val="21"/>
        </w:numPr>
        <w:spacing w:before="120" w:after="120" w:line="276" w:lineRule="auto"/>
        <w:ind w:right="-15"/>
        <w:jc w:val="both"/>
        <w:rPr>
          <w:color w:val="000000"/>
        </w:rPr>
      </w:pPr>
      <w:r>
        <w:rPr>
          <w:color w:val="000000"/>
          <w:highlight w:val="white"/>
        </w:rPr>
        <w:t>A análise da exequibilidade da proposta de preços deverá ser realizada com o auxílio da Planilha de Custos e Formação de Preços,a ser preenchida pelo licitante em relação à sua proposta final, conforme anexo deste Edital.</w:t>
      </w:r>
    </w:p>
    <w:p w:rsidR="00EF71EB" w:rsidRDefault="00EF71EB" w:rsidP="009D75B9">
      <w:pPr>
        <w:numPr>
          <w:ilvl w:val="1"/>
          <w:numId w:val="21"/>
        </w:numPr>
        <w:spacing w:before="120" w:after="120" w:line="276" w:lineRule="auto"/>
        <w:ind w:right="-15"/>
        <w:jc w:val="both"/>
        <w:rPr>
          <w:color w:val="000000"/>
        </w:rPr>
      </w:pPr>
      <w:r>
        <w:rPr>
          <w:color w:val="000000"/>
          <w:highlight w:val="white"/>
        </w:rPr>
        <w:t xml:space="preserve">A Planilha de Custos e Formação de Preços deverá ser encaminhada pelo licitante exclusivamente via sistema, no prazo de </w:t>
      </w:r>
      <w:r>
        <w:rPr>
          <w:b/>
          <w:highlight w:val="white"/>
        </w:rPr>
        <w:t>02 (duas) horas,</w:t>
      </w:r>
      <w:r>
        <w:rPr>
          <w:color w:val="000000"/>
          <w:highlight w:val="white"/>
        </w:rPr>
        <w:t xml:space="preserve"> contado da solicitação do pregoeiro, </w:t>
      </w:r>
      <w:r>
        <w:rPr>
          <w:color w:val="000000"/>
        </w:rPr>
        <w:t xml:space="preserve">com os respectivos valores readequados ao lance vencedor, </w:t>
      </w:r>
      <w:r>
        <w:rPr>
          <w:color w:val="000000"/>
          <w:highlight w:val="white"/>
        </w:rPr>
        <w:t>e será analisada pelo Pregoeiro no momento da aceitação do lance vencedor.</w:t>
      </w:r>
    </w:p>
    <w:p w:rsidR="00EF71EB" w:rsidRDefault="00EF71EB" w:rsidP="009D75B9">
      <w:pPr>
        <w:numPr>
          <w:ilvl w:val="1"/>
          <w:numId w:val="21"/>
        </w:numPr>
        <w:spacing w:before="120" w:after="120" w:line="276" w:lineRule="auto"/>
        <w:ind w:right="-15"/>
        <w:jc w:val="both"/>
        <w:rPr>
          <w:color w:val="000000"/>
        </w:rPr>
      </w:pPr>
      <w:r>
        <w:rPr>
          <w:color w:val="000000"/>
        </w:rPr>
        <w:t xml:space="preserve">Será desclassificada a proposta ou o lance vencedor, nos termos do item 9.1 do Anexo VII-A da IN SEGES/MP n. 5/2017, que: </w:t>
      </w:r>
    </w:p>
    <w:p w:rsidR="00EF71EB" w:rsidRDefault="00EF71EB" w:rsidP="009D75B9">
      <w:pPr>
        <w:numPr>
          <w:ilvl w:val="2"/>
          <w:numId w:val="23"/>
        </w:numPr>
        <w:pBdr>
          <w:top w:val="nil"/>
          <w:left w:val="nil"/>
          <w:bottom w:val="nil"/>
          <w:right w:val="nil"/>
          <w:between w:val="nil"/>
        </w:pBdr>
        <w:spacing w:before="120" w:line="276" w:lineRule="auto"/>
        <w:ind w:right="-15"/>
        <w:jc w:val="both"/>
        <w:rPr>
          <w:rFonts w:cs="Arial"/>
          <w:color w:val="000000"/>
          <w:szCs w:val="20"/>
        </w:rPr>
      </w:pPr>
      <w:r>
        <w:rPr>
          <w:rFonts w:eastAsia="Arial" w:cs="Arial"/>
          <w:color w:val="000000"/>
          <w:szCs w:val="20"/>
        </w:rPr>
        <w:t>não estiver em conformidade com os requisitos estabelecidos neste edital;</w:t>
      </w:r>
    </w:p>
    <w:p w:rsidR="00EF71EB" w:rsidRDefault="00EF71EB" w:rsidP="009D75B9">
      <w:pPr>
        <w:numPr>
          <w:ilvl w:val="2"/>
          <w:numId w:val="23"/>
        </w:numPr>
        <w:pBdr>
          <w:top w:val="nil"/>
          <w:left w:val="nil"/>
          <w:bottom w:val="nil"/>
          <w:right w:val="nil"/>
          <w:between w:val="nil"/>
        </w:pBdr>
        <w:spacing w:line="276" w:lineRule="auto"/>
        <w:ind w:right="-15"/>
        <w:jc w:val="both"/>
        <w:rPr>
          <w:rFonts w:cs="Arial"/>
          <w:color w:val="000000"/>
          <w:szCs w:val="20"/>
        </w:rPr>
      </w:pPr>
      <w:r>
        <w:rPr>
          <w:rFonts w:eastAsia="Arial" w:cs="Arial"/>
          <w:color w:val="000000"/>
          <w:szCs w:val="20"/>
        </w:rPr>
        <w:t>contenha vício insanável ou ilegalidade;</w:t>
      </w:r>
    </w:p>
    <w:p w:rsidR="00EF71EB" w:rsidRDefault="00EF71EB" w:rsidP="009D75B9">
      <w:pPr>
        <w:numPr>
          <w:ilvl w:val="2"/>
          <w:numId w:val="23"/>
        </w:numPr>
        <w:pBdr>
          <w:top w:val="nil"/>
          <w:left w:val="nil"/>
          <w:bottom w:val="nil"/>
          <w:right w:val="nil"/>
          <w:between w:val="nil"/>
        </w:pBdr>
        <w:spacing w:line="276" w:lineRule="auto"/>
        <w:ind w:right="-15"/>
        <w:jc w:val="both"/>
        <w:rPr>
          <w:rFonts w:cs="Arial"/>
          <w:color w:val="000000"/>
          <w:szCs w:val="20"/>
        </w:rPr>
      </w:pPr>
      <w:r>
        <w:rPr>
          <w:rFonts w:eastAsia="Arial" w:cs="Arial"/>
          <w:color w:val="000000"/>
          <w:szCs w:val="20"/>
        </w:rPr>
        <w:t>não apresente as especificações técnicas exigidas pelo Termo de Referência;</w:t>
      </w:r>
    </w:p>
    <w:p w:rsidR="00EF71EB" w:rsidRDefault="00EF71EB" w:rsidP="009D75B9">
      <w:pPr>
        <w:numPr>
          <w:ilvl w:val="2"/>
          <w:numId w:val="23"/>
        </w:numPr>
        <w:pBdr>
          <w:top w:val="nil"/>
          <w:left w:val="nil"/>
          <w:bottom w:val="nil"/>
          <w:right w:val="nil"/>
          <w:between w:val="nil"/>
        </w:pBdr>
        <w:spacing w:line="276" w:lineRule="auto"/>
        <w:ind w:right="-15"/>
        <w:jc w:val="both"/>
        <w:rPr>
          <w:rFonts w:cs="Arial"/>
          <w:color w:val="000000"/>
          <w:szCs w:val="20"/>
        </w:rPr>
      </w:pPr>
      <w:r>
        <w:rPr>
          <w:rFonts w:eastAsia="Arial" w:cs="Arial"/>
          <w:color w:val="000000"/>
          <w:szCs w:val="20"/>
        </w:rPr>
        <w:t xml:space="preserve">apresentar preço final superior ao preço máximo fixado(Acórdão nº 1455/2018 -TCU - Plenário), percentual de desconto inferior ao mínimo exigido ou que apresentar preço manifestamente inexequível. </w:t>
      </w:r>
    </w:p>
    <w:p w:rsidR="00EF71EB" w:rsidRDefault="00EF71EB" w:rsidP="009D75B9">
      <w:pPr>
        <w:numPr>
          <w:ilvl w:val="3"/>
          <w:numId w:val="23"/>
        </w:numPr>
        <w:pBdr>
          <w:top w:val="nil"/>
          <w:left w:val="nil"/>
          <w:bottom w:val="nil"/>
          <w:right w:val="nil"/>
          <w:between w:val="nil"/>
        </w:pBdr>
        <w:spacing w:line="276" w:lineRule="auto"/>
        <w:ind w:right="-15"/>
        <w:jc w:val="both"/>
        <w:rPr>
          <w:rFonts w:cs="Arial"/>
          <w:color w:val="000000"/>
          <w:szCs w:val="20"/>
        </w:rPr>
      </w:pPr>
      <w:r>
        <w:rPr>
          <w:rFonts w:eastAsia="Arial" w:cs="Arial"/>
          <w:color w:val="000000"/>
          <w:szCs w:val="20"/>
        </w:rPr>
        <w:t>Quando o licitante não conseguir comprovar que possui ou possuirá recursos suficientes para executar a contento o objeto, será considerada inexequível a proposta de preços ou menor lance que:</w:t>
      </w:r>
    </w:p>
    <w:p w:rsidR="00EF71EB" w:rsidRDefault="00EF71EB" w:rsidP="009D75B9">
      <w:pPr>
        <w:numPr>
          <w:ilvl w:val="4"/>
          <w:numId w:val="23"/>
        </w:numPr>
        <w:pBdr>
          <w:top w:val="nil"/>
          <w:left w:val="nil"/>
          <w:bottom w:val="nil"/>
          <w:right w:val="nil"/>
          <w:between w:val="nil"/>
        </w:pBdr>
        <w:spacing w:line="276" w:lineRule="auto"/>
        <w:jc w:val="both"/>
        <w:rPr>
          <w:rFonts w:cs="Arial"/>
          <w:color w:val="000000"/>
          <w:szCs w:val="20"/>
        </w:rPr>
      </w:pPr>
      <w:r>
        <w:rPr>
          <w:rFonts w:eastAsia="Arial" w:cs="Arial"/>
          <w:color w:val="00000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EF71EB" w:rsidRDefault="00EF71EB" w:rsidP="009D75B9">
      <w:pPr>
        <w:numPr>
          <w:ilvl w:val="4"/>
          <w:numId w:val="23"/>
        </w:numPr>
        <w:pBdr>
          <w:top w:val="nil"/>
          <w:left w:val="nil"/>
          <w:bottom w:val="nil"/>
          <w:right w:val="nil"/>
          <w:between w:val="nil"/>
        </w:pBdr>
        <w:spacing w:line="276" w:lineRule="auto"/>
        <w:ind w:hanging="1079"/>
        <w:jc w:val="both"/>
        <w:rPr>
          <w:rFonts w:cs="Arial"/>
          <w:color w:val="000000"/>
          <w:szCs w:val="20"/>
        </w:rPr>
      </w:pPr>
      <w:r>
        <w:rPr>
          <w:rFonts w:eastAsia="Arial" w:cs="Arial"/>
          <w:color w:val="000000"/>
          <w:szCs w:val="20"/>
        </w:rPr>
        <w:t>apresentar um ou mais valores da planilha de custo que sejam inferiores àqueles fixados em instrumentos de caráter normativo obrigatório, tais como leis, medidas provisórias e convenções coletivas de trabalho vigentes.</w:t>
      </w:r>
    </w:p>
    <w:p w:rsidR="00EF71EB" w:rsidRDefault="00EF71EB" w:rsidP="009D75B9">
      <w:pPr>
        <w:numPr>
          <w:ilvl w:val="3"/>
          <w:numId w:val="23"/>
        </w:numPr>
        <w:pBdr>
          <w:top w:val="nil"/>
          <w:left w:val="nil"/>
          <w:bottom w:val="nil"/>
          <w:right w:val="nil"/>
          <w:between w:val="nil"/>
        </w:pBdr>
        <w:spacing w:line="276" w:lineRule="auto"/>
        <w:ind w:right="-15"/>
        <w:jc w:val="both"/>
        <w:rPr>
          <w:rFonts w:cs="Arial"/>
          <w:color w:val="000000"/>
          <w:szCs w:val="20"/>
        </w:rPr>
      </w:pPr>
      <w:r>
        <w:rPr>
          <w:rFonts w:eastAsia="Arial" w:cs="Arial"/>
          <w:color w:val="000000"/>
          <w:szCs w:val="20"/>
        </w:rPr>
        <w:t>A fim de assegurar o tratamento isonômico entre as licitantes, bem como para a contagem da anualidade prevista no art. 3º, §1º da Lei n. 10.192/2001, informa-se que foram utilizadas as seguintes convenções coletivas de trabalho no cálculo do valor estimado pela Administração.</w:t>
      </w:r>
    </w:p>
    <w:p w:rsidR="00EF71EB" w:rsidRDefault="00EF71EB" w:rsidP="009D75B9">
      <w:pPr>
        <w:numPr>
          <w:ilvl w:val="4"/>
          <w:numId w:val="23"/>
        </w:numPr>
        <w:pBdr>
          <w:top w:val="nil"/>
          <w:left w:val="nil"/>
          <w:bottom w:val="nil"/>
          <w:right w:val="nil"/>
          <w:between w:val="nil"/>
        </w:pBdr>
        <w:spacing w:line="276" w:lineRule="auto"/>
        <w:jc w:val="both"/>
        <w:rPr>
          <w:rFonts w:cs="Arial"/>
          <w:color w:val="000000"/>
          <w:szCs w:val="20"/>
        </w:rPr>
      </w:pPr>
      <w:r>
        <w:rPr>
          <w:rFonts w:eastAsia="Arial" w:cs="Arial"/>
          <w:color w:val="000000"/>
          <w:szCs w:val="20"/>
        </w:rPr>
        <w:t>Convenção Coletiva de Trabalho – CCT n° PB 000041/2020;</w:t>
      </w:r>
    </w:p>
    <w:p w:rsidR="00EF71EB" w:rsidRDefault="00EF71EB" w:rsidP="009D75B9">
      <w:pPr>
        <w:numPr>
          <w:ilvl w:val="4"/>
          <w:numId w:val="23"/>
        </w:numPr>
        <w:pBdr>
          <w:top w:val="nil"/>
          <w:left w:val="nil"/>
          <w:bottom w:val="nil"/>
          <w:right w:val="nil"/>
          <w:between w:val="nil"/>
        </w:pBdr>
        <w:spacing w:line="276" w:lineRule="auto"/>
        <w:jc w:val="both"/>
        <w:rPr>
          <w:rFonts w:cs="Arial"/>
          <w:color w:val="000000"/>
          <w:szCs w:val="20"/>
        </w:rPr>
      </w:pPr>
      <w:r>
        <w:rPr>
          <w:rFonts w:eastAsia="Arial" w:cs="Arial"/>
          <w:color w:val="000000"/>
          <w:szCs w:val="20"/>
        </w:rPr>
        <w:t>Dissídio Coletivo (DC) 0000069-54.2017.5.13.0000.</w:t>
      </w:r>
    </w:p>
    <w:p w:rsidR="00EF71EB" w:rsidRDefault="00EF71EB" w:rsidP="009D75B9">
      <w:pPr>
        <w:numPr>
          <w:ilvl w:val="4"/>
          <w:numId w:val="23"/>
        </w:numPr>
        <w:pBdr>
          <w:top w:val="nil"/>
          <w:left w:val="nil"/>
          <w:bottom w:val="nil"/>
          <w:right w:val="nil"/>
          <w:between w:val="nil"/>
        </w:pBdr>
        <w:spacing w:after="120" w:line="276" w:lineRule="auto"/>
        <w:jc w:val="both"/>
        <w:rPr>
          <w:rFonts w:cs="Arial"/>
          <w:color w:val="000000"/>
          <w:szCs w:val="20"/>
        </w:rPr>
      </w:pPr>
      <w:r>
        <w:rPr>
          <w:rFonts w:eastAsia="Arial" w:cs="Arial"/>
          <w:color w:val="000000"/>
          <w:szCs w:val="20"/>
        </w:rPr>
        <w:t xml:space="preserve">O(s) sindicato(s) indicado(s) nos subitens acima não são de utilização obrigatória pelos licitantes (Acórdão TCU nº 369/2012), </w:t>
      </w:r>
      <w:r>
        <w:rPr>
          <w:rFonts w:eastAsia="Arial" w:cs="Arial"/>
          <w:color w:val="000000"/>
          <w:szCs w:val="20"/>
        </w:rPr>
        <w:lastRenderedPageBreak/>
        <w:t>mas sempre se exigirá o cumprimento das convenções coletivas adotadas por cada licitante/contratante.</w:t>
      </w:r>
    </w:p>
    <w:p w:rsidR="00EF71EB" w:rsidRDefault="00EF71EB" w:rsidP="009D75B9">
      <w:pPr>
        <w:numPr>
          <w:ilvl w:val="1"/>
          <w:numId w:val="21"/>
        </w:numPr>
        <w:spacing w:before="120" w:after="120" w:line="276" w:lineRule="auto"/>
        <w:ind w:right="-15"/>
        <w:jc w:val="both"/>
        <w:rPr>
          <w:color w:val="000000"/>
        </w:rPr>
      </w:pPr>
      <w:r>
        <w:rPr>
          <w:color w:val="000000"/>
        </w:rPr>
        <w:t>É vedado à proponente incluir na Planilha de Custos e Formação de Preços:</w:t>
      </w:r>
    </w:p>
    <w:p w:rsidR="00EF71EB" w:rsidRDefault="00EF71EB" w:rsidP="009D75B9">
      <w:pPr>
        <w:numPr>
          <w:ilvl w:val="2"/>
          <w:numId w:val="24"/>
        </w:numPr>
        <w:pBdr>
          <w:top w:val="nil"/>
          <w:left w:val="nil"/>
          <w:bottom w:val="nil"/>
          <w:right w:val="nil"/>
          <w:between w:val="nil"/>
        </w:pBdr>
        <w:tabs>
          <w:tab w:val="left" w:pos="1560"/>
        </w:tabs>
        <w:spacing w:before="120" w:line="276" w:lineRule="auto"/>
        <w:jc w:val="both"/>
        <w:rPr>
          <w:rFonts w:cs="Arial"/>
          <w:color w:val="000000"/>
          <w:szCs w:val="20"/>
        </w:rPr>
      </w:pPr>
      <w:r>
        <w:rPr>
          <w:rFonts w:eastAsia="Arial" w:cs="Arial"/>
          <w:color w:val="000000"/>
          <w:szCs w:val="20"/>
        </w:rPr>
        <w:t>item relativo a despesas decorrentes de disposições contidas em Acordos, Convenções ou Dissídios Coletivos de Trabalho que tratem de pagamento de participação dos trabalhadores nos lucros ou resultados da empresa contratada, de matéria não trabalhista, ou que estabeleçam direitos não previstos em lei, tais como valores ou índices obrigatórios de encargos sociais ou previdenciários, bem como de preços para os insumos relacionados ao exercício da atividade (art. 9º, parágrafo único, incisos I a III, do Decreto n.º 9.507/2018, e art. 6º da IN SEGES/MP n.º 5, de 2017);</w:t>
      </w:r>
    </w:p>
    <w:p w:rsidR="00EF71EB" w:rsidRDefault="00EF71EB" w:rsidP="009D75B9">
      <w:pPr>
        <w:numPr>
          <w:ilvl w:val="2"/>
          <w:numId w:val="24"/>
        </w:numPr>
        <w:pBdr>
          <w:top w:val="nil"/>
          <w:left w:val="nil"/>
          <w:bottom w:val="nil"/>
          <w:right w:val="nil"/>
          <w:between w:val="nil"/>
        </w:pBdr>
        <w:tabs>
          <w:tab w:val="left" w:pos="1560"/>
        </w:tabs>
        <w:spacing w:line="276" w:lineRule="auto"/>
        <w:jc w:val="both"/>
        <w:rPr>
          <w:rFonts w:cs="Arial"/>
          <w:color w:val="000000"/>
          <w:szCs w:val="20"/>
        </w:rPr>
      </w:pPr>
      <w:r>
        <w:rPr>
          <w:rFonts w:eastAsia="Arial" w:cs="Arial"/>
          <w:color w:val="000000"/>
          <w:szCs w:val="20"/>
        </w:rPr>
        <w:t>item relativo a despesas decorrentes de disposições contidas em Acordos, Convenções ou Dissídios Coletivos de Trabalho que tratem de obrigações e direitos que somente se aplicam aos contratos com a Administração Pública (art. 6º, parágrafo único, da IN SEGES/MP n.º 5/2017);</w:t>
      </w:r>
    </w:p>
    <w:p w:rsidR="00EF71EB" w:rsidRDefault="00EF71EB" w:rsidP="009D75B9">
      <w:pPr>
        <w:numPr>
          <w:ilvl w:val="2"/>
          <w:numId w:val="24"/>
        </w:numPr>
        <w:pBdr>
          <w:top w:val="nil"/>
          <w:left w:val="nil"/>
          <w:bottom w:val="nil"/>
          <w:right w:val="nil"/>
          <w:between w:val="nil"/>
        </w:pBdr>
        <w:tabs>
          <w:tab w:val="left" w:pos="1560"/>
        </w:tabs>
        <w:spacing w:line="276" w:lineRule="auto"/>
        <w:jc w:val="both"/>
        <w:rPr>
          <w:rFonts w:cs="Arial"/>
          <w:color w:val="000000"/>
          <w:szCs w:val="20"/>
        </w:rPr>
      </w:pPr>
      <w:r>
        <w:rPr>
          <w:rFonts w:eastAsia="Arial" w:cs="Arial"/>
          <w:color w:val="000000"/>
          <w:szCs w:val="20"/>
        </w:rPr>
        <w:t>rubricas que prevejam o custeio de despesas com treinamento, reciclagem e capacitação ou congêneres, pois tais parcelas já são cobertas pelas despesas administrativas (Acórdão TCU nº 2.746/2015 - Plenário);</w:t>
      </w:r>
    </w:p>
    <w:p w:rsidR="00EF71EB" w:rsidRDefault="00EF71EB" w:rsidP="009D75B9">
      <w:pPr>
        <w:numPr>
          <w:ilvl w:val="2"/>
          <w:numId w:val="24"/>
        </w:numPr>
        <w:pBdr>
          <w:top w:val="nil"/>
          <w:left w:val="nil"/>
          <w:bottom w:val="nil"/>
          <w:right w:val="nil"/>
          <w:between w:val="nil"/>
        </w:pBdr>
        <w:tabs>
          <w:tab w:val="left" w:pos="1560"/>
        </w:tabs>
        <w:spacing w:line="276" w:lineRule="auto"/>
        <w:jc w:val="both"/>
        <w:rPr>
          <w:rFonts w:cs="Arial"/>
          <w:color w:val="000000"/>
          <w:szCs w:val="20"/>
        </w:rPr>
      </w:pPr>
      <w:r>
        <w:rPr>
          <w:rFonts w:eastAsia="Arial" w:cs="Arial"/>
          <w:color w:val="000000"/>
          <w:szCs w:val="20"/>
        </w:rPr>
        <w:t>rubrica denominada “reserva técnica”, exceto se houver justificativa, na proposta, que indique, claramente e por meio de memória de cálculo, o que está sendo custeado, de modo a haver a comprovação da não cobertura do valor, direta ou indiretamente, por outra rubrica da planilha (Acórdãos TCU nº 2.746/2015 – Plenário, nº 64/2010 - 2ª Câmara e nº 953/2016 - Plenário);</w:t>
      </w:r>
    </w:p>
    <w:p w:rsidR="00EF71EB" w:rsidRDefault="00EF71EB" w:rsidP="009D75B9">
      <w:pPr>
        <w:numPr>
          <w:ilvl w:val="2"/>
          <w:numId w:val="24"/>
        </w:numPr>
        <w:pBdr>
          <w:top w:val="nil"/>
          <w:left w:val="nil"/>
          <w:bottom w:val="nil"/>
          <w:right w:val="nil"/>
          <w:between w:val="nil"/>
        </w:pBdr>
        <w:tabs>
          <w:tab w:val="left" w:pos="1560"/>
        </w:tabs>
        <w:spacing w:line="276" w:lineRule="auto"/>
        <w:jc w:val="both"/>
        <w:rPr>
          <w:rFonts w:cs="Arial"/>
          <w:color w:val="000000"/>
          <w:szCs w:val="20"/>
        </w:rPr>
      </w:pPr>
      <w:r>
        <w:rPr>
          <w:rFonts w:eastAsia="Arial" w:cs="Arial"/>
          <w:color w:val="000000"/>
          <w:szCs w:val="20"/>
        </w:rPr>
        <w:t>rubrica para pagamento do Imposto de Renda Pessoa Jurídica - IRPJ e da Contribuição Social Sobre o Lucro Líquido – CSLL (Súmula TCU nº 254/2010);</w:t>
      </w:r>
    </w:p>
    <w:p w:rsidR="00EF71EB" w:rsidRDefault="00EF71EB" w:rsidP="009D75B9">
      <w:pPr>
        <w:numPr>
          <w:ilvl w:val="2"/>
          <w:numId w:val="24"/>
        </w:numPr>
        <w:pBdr>
          <w:top w:val="nil"/>
          <w:left w:val="nil"/>
          <w:bottom w:val="nil"/>
          <w:right w:val="nil"/>
          <w:between w:val="nil"/>
        </w:pBdr>
        <w:tabs>
          <w:tab w:val="left" w:pos="1560"/>
        </w:tabs>
        <w:spacing w:after="120" w:line="276" w:lineRule="auto"/>
        <w:jc w:val="both"/>
        <w:rPr>
          <w:rFonts w:cs="Arial"/>
          <w:color w:val="000000"/>
          <w:szCs w:val="20"/>
        </w:rPr>
      </w:pPr>
      <w:r>
        <w:rPr>
          <w:rFonts w:eastAsia="Arial" w:cs="Arial"/>
          <w:color w:val="000000"/>
          <w:szCs w:val="20"/>
        </w:rPr>
        <w:t>rubrica denominada “verba” ou “verba provisional”, pois o item não está vinculado a qualquer contraprestação mensurável (Acórdãos TCU nº 1.949/2007 – Plenário e nº 6.439/2011 – 1ª Câmara).</w:t>
      </w:r>
    </w:p>
    <w:p w:rsidR="00EF71EB" w:rsidRDefault="00EF71EB" w:rsidP="009D75B9">
      <w:pPr>
        <w:numPr>
          <w:ilvl w:val="1"/>
          <w:numId w:val="21"/>
        </w:numPr>
        <w:spacing w:before="120" w:after="120" w:line="276" w:lineRule="auto"/>
        <w:ind w:right="-15"/>
        <w:jc w:val="both"/>
        <w:rPr>
          <w:color w:val="000000"/>
        </w:rPr>
      </w:pPr>
      <w:r>
        <w:rPr>
          <w:color w:val="000000"/>
        </w:rPr>
        <w:t xml:space="preserve">A inclusão na proposta de item de custo vedado não acarretará a desclassificação do licitante, devendo o pregoeiro determinar que os respectivos custos sejam excluídos da Planilha, adotando, se for o caso, as providências do art. 47, </w:t>
      </w:r>
      <w:r>
        <w:rPr>
          <w:i/>
          <w:color w:val="000000"/>
        </w:rPr>
        <w:t>caput</w:t>
      </w:r>
      <w:r>
        <w:rPr>
          <w:color w:val="000000"/>
        </w:rPr>
        <w:t xml:space="preserve">, do Decreto n.º 10.024, de 2019. </w:t>
      </w:r>
    </w:p>
    <w:p w:rsidR="00EF71EB" w:rsidRDefault="00EF71EB" w:rsidP="009D75B9">
      <w:pPr>
        <w:numPr>
          <w:ilvl w:val="2"/>
          <w:numId w:val="25"/>
        </w:numPr>
        <w:spacing w:before="120" w:after="120" w:line="276" w:lineRule="auto"/>
        <w:ind w:right="-15"/>
        <w:jc w:val="both"/>
        <w:rPr>
          <w:color w:val="000000"/>
        </w:rPr>
      </w:pPr>
      <w:r>
        <w:rPr>
          <w:color w:val="000000"/>
        </w:rPr>
        <w:t>Na hipótese de contratação com a previsão de itens de custos vedados, tais valores serão glosados e os itens serão excluídos da Planilha, garantidas ampla defesa e contraditório.</w:t>
      </w:r>
    </w:p>
    <w:p w:rsidR="00EF71EB" w:rsidRDefault="00EF71EB" w:rsidP="009D75B9">
      <w:pPr>
        <w:numPr>
          <w:ilvl w:val="1"/>
          <w:numId w:val="21"/>
        </w:numPr>
        <w:spacing w:before="120" w:after="120" w:line="276" w:lineRule="auto"/>
        <w:ind w:right="-15"/>
        <w:jc w:val="both"/>
        <w:rPr>
          <w:color w:val="000000"/>
        </w:rPr>
      </w:pPr>
      <w:r>
        <w:rPr>
          <w:color w:val="000000"/>
        </w:rPr>
        <w:t xml:space="preserve">A inexequibilidade dos valores referentes a itens isolados da Planilha de Custos e Formação de Preços não caracteriza motivo suficiente para a desclassificação da proposta, desde que não contrariem exigências legais. </w:t>
      </w:r>
    </w:p>
    <w:p w:rsidR="00EF71EB" w:rsidRDefault="00EF71EB" w:rsidP="009D75B9">
      <w:pPr>
        <w:numPr>
          <w:ilvl w:val="1"/>
          <w:numId w:val="21"/>
        </w:numPr>
        <w:spacing w:before="120" w:after="120" w:line="276" w:lineRule="auto"/>
        <w:ind w:right="-15"/>
        <w:jc w:val="both"/>
        <w:rPr>
          <w:color w:val="000000"/>
        </w:rPr>
      </w:pPr>
      <w:r>
        <w:rPr>
          <w:color w:val="000000"/>
        </w:rPr>
        <w:t>Se houver indícios de inexequibilidade da proposta de preço, ou em caso da necessidade de esclarecimentos complementares, poderão ser efetuadas diligências, na forma do § 3° do artigo 43 da Lei n° 8.666, de 1993 e a exemplo das enumeradas no item 9.4 do Anexo VII-A da IN SEGES/MP N. 5, de 2017, para que a empresa comprove a exequibilidade da proposta.</w:t>
      </w:r>
    </w:p>
    <w:p w:rsidR="00EF71EB" w:rsidRDefault="00EF71EB" w:rsidP="009D75B9">
      <w:pPr>
        <w:numPr>
          <w:ilvl w:val="1"/>
          <w:numId w:val="21"/>
        </w:numPr>
        <w:spacing w:before="120" w:after="120" w:line="276" w:lineRule="auto"/>
        <w:ind w:right="-15"/>
        <w:jc w:val="both"/>
        <w:rPr>
          <w:color w:val="000000"/>
        </w:rPr>
      </w:pPr>
      <w:r>
        <w:rPr>
          <w:color w:val="000000"/>
        </w:rPr>
        <w:lastRenderedPageBreak/>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rsidR="00EF71EB" w:rsidRDefault="00EF71EB" w:rsidP="009D75B9">
      <w:pPr>
        <w:numPr>
          <w:ilvl w:val="1"/>
          <w:numId w:val="21"/>
        </w:numPr>
        <w:spacing w:before="120" w:after="120" w:line="276" w:lineRule="auto"/>
        <w:ind w:right="-15"/>
        <w:jc w:val="both"/>
        <w:rPr>
          <w:color w:val="000000"/>
        </w:rPr>
      </w:pPr>
      <w:r>
        <w:rPr>
          <w:color w:val="000000"/>
        </w:rPr>
        <w:t>Qualquer interessado poderá requerer que se realizem diligências para aferir a exequibilidade e a legalidade das propostas, devendo apresentar as provas ou os indícios que fundamentam a suspeita.</w:t>
      </w:r>
    </w:p>
    <w:p w:rsidR="00EF71EB" w:rsidRDefault="00EF71EB" w:rsidP="009D75B9">
      <w:pPr>
        <w:numPr>
          <w:ilvl w:val="2"/>
          <w:numId w:val="27"/>
        </w:numPr>
        <w:spacing w:before="120" w:after="120" w:line="276" w:lineRule="auto"/>
        <w:ind w:right="-15"/>
        <w:jc w:val="both"/>
        <w:rPr>
          <w:color w:val="000000"/>
        </w:rPr>
      </w:pPr>
      <w:r>
        <w:rPr>
          <w:color w:val="000000"/>
        </w:rPr>
        <w:t>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EF71EB" w:rsidRDefault="00EF71EB" w:rsidP="009D75B9">
      <w:pPr>
        <w:numPr>
          <w:ilvl w:val="1"/>
          <w:numId w:val="21"/>
        </w:numPr>
        <w:spacing w:before="120" w:after="120" w:line="276" w:lineRule="auto"/>
        <w:ind w:right="-15"/>
        <w:jc w:val="both"/>
        <w:rPr>
          <w:color w:val="000000"/>
        </w:rPr>
      </w:pPr>
      <w:r>
        <w:rPr>
          <w:color w:val="000000"/>
        </w:rPr>
        <w:t xml:space="preserve">O Pregoeiro poderá convocar o licitante para enviar documento digital complementar, por meio de funcionalidade disponível no sistema, no prazo de </w:t>
      </w:r>
      <w:r>
        <w:rPr>
          <w:b/>
        </w:rPr>
        <w:t xml:space="preserve">02 (duas) horas, </w:t>
      </w:r>
      <w:r>
        <w:rPr>
          <w:color w:val="000000"/>
        </w:rPr>
        <w:t>sob pena de não aceitação da proposta.</w:t>
      </w:r>
    </w:p>
    <w:p w:rsidR="00EF71EB" w:rsidRDefault="00EF71EB" w:rsidP="009D75B9">
      <w:pPr>
        <w:numPr>
          <w:ilvl w:val="2"/>
          <w:numId w:val="26"/>
        </w:numPr>
        <w:spacing w:before="120" w:after="120" w:line="276" w:lineRule="auto"/>
        <w:ind w:right="-15"/>
        <w:jc w:val="both"/>
      </w:pPr>
      <w:r>
        <w:rPr>
          <w:color w:val="000000"/>
        </w:rPr>
        <w:t>É facultado ao pregoeiro prorrogar o prazo estabelecido, a partir de solicitação fundamentada feita no chat pelo licitante, antes de findo o prazo.</w:t>
      </w:r>
    </w:p>
    <w:p w:rsidR="00EF71EB" w:rsidRDefault="00EF71EB" w:rsidP="009D75B9">
      <w:pPr>
        <w:numPr>
          <w:ilvl w:val="2"/>
          <w:numId w:val="26"/>
        </w:numPr>
        <w:spacing w:before="120" w:after="120" w:line="276" w:lineRule="auto"/>
        <w:ind w:right="-15"/>
        <w:jc w:val="both"/>
        <w:rPr>
          <w:color w:val="000000"/>
        </w:rPr>
      </w:pPr>
      <w:r>
        <w:rPr>
          <w:color w:val="000000"/>
        </w:rPr>
        <w:t>Dentre os documentos passíveis de solicitação pelo Pregoeiro, destacam-se as planilhas de custo readequadas com o valor final ofertado.</w:t>
      </w:r>
    </w:p>
    <w:p w:rsidR="00EF71EB" w:rsidRDefault="00EF71EB" w:rsidP="009D75B9">
      <w:pPr>
        <w:numPr>
          <w:ilvl w:val="1"/>
          <w:numId w:val="26"/>
        </w:numPr>
        <w:spacing w:before="120" w:after="120" w:line="276" w:lineRule="auto"/>
        <w:ind w:right="-15"/>
        <w:jc w:val="both"/>
        <w:rPr>
          <w:color w:val="000000"/>
        </w:rPr>
      </w:pPr>
      <w:r>
        <w:rPr>
          <w:color w:val="000000"/>
        </w:rPr>
        <w:t>Todos os dados informados pelo licitante em sua planilha deverão refletir com fidelidade os custos especificados e a margem de lucro pretendida.</w:t>
      </w:r>
    </w:p>
    <w:p w:rsidR="00EF71EB" w:rsidRDefault="00EF71EB" w:rsidP="009D75B9">
      <w:pPr>
        <w:numPr>
          <w:ilvl w:val="1"/>
          <w:numId w:val="26"/>
        </w:numPr>
        <w:spacing w:before="120" w:after="120" w:line="276" w:lineRule="auto"/>
        <w:ind w:right="-15"/>
        <w:jc w:val="both"/>
        <w:rPr>
          <w:color w:val="000000"/>
        </w:rPr>
      </w:pPr>
      <w:r>
        <w:rPr>
          <w:color w:val="000000"/>
        </w:rPr>
        <w:t>O Pregoeiro analisará a compatibilidade dos preços unitários apresentados na Planilha de Custos e Formação de Preços com aqueles praticados no mercado em relação aos insumos e também quanto aos salários das categorias envolvidas na contratação;</w:t>
      </w:r>
    </w:p>
    <w:p w:rsidR="00EF71EB" w:rsidRDefault="00EF71EB" w:rsidP="009D75B9">
      <w:pPr>
        <w:numPr>
          <w:ilvl w:val="1"/>
          <w:numId w:val="26"/>
        </w:numPr>
        <w:pBdr>
          <w:top w:val="nil"/>
          <w:left w:val="nil"/>
          <w:bottom w:val="nil"/>
          <w:right w:val="nil"/>
          <w:between w:val="nil"/>
        </w:pBdr>
        <w:shd w:val="clear" w:color="auto" w:fill="FFFFFF"/>
        <w:spacing w:before="120" w:after="120" w:line="276" w:lineRule="auto"/>
        <w:jc w:val="both"/>
        <w:rPr>
          <w:rFonts w:cs="Arial"/>
          <w:color w:val="000000"/>
          <w:szCs w:val="20"/>
        </w:rPr>
      </w:pPr>
      <w:r>
        <w:rPr>
          <w:rFonts w:eastAsia="Arial" w:cs="Arial"/>
          <w:color w:val="000000"/>
          <w:szCs w:val="20"/>
        </w:rPr>
        <w:t>Erros no preenchimento da planilha não constituem motivo para a desclassificação da proposta. A planilha poderá ser ajustada pelo licitante, no prazo indicado pelo Pregoeiro, desde que não haja majoração do preço.</w:t>
      </w:r>
    </w:p>
    <w:p w:rsidR="00EF71EB" w:rsidRDefault="00EF71EB" w:rsidP="009D75B9">
      <w:pPr>
        <w:numPr>
          <w:ilvl w:val="2"/>
          <w:numId w:val="26"/>
        </w:numPr>
        <w:pBdr>
          <w:top w:val="nil"/>
          <w:left w:val="nil"/>
          <w:bottom w:val="nil"/>
          <w:right w:val="nil"/>
          <w:between w:val="nil"/>
        </w:pBdr>
        <w:shd w:val="clear" w:color="auto" w:fill="FFFFFF"/>
        <w:spacing w:before="120" w:after="120" w:line="276" w:lineRule="auto"/>
        <w:jc w:val="both"/>
        <w:rPr>
          <w:rFonts w:cs="Arial"/>
          <w:color w:val="000000"/>
          <w:szCs w:val="20"/>
        </w:rPr>
      </w:pPr>
      <w:r>
        <w:rPr>
          <w:rFonts w:eastAsia="Arial" w:cs="Arial"/>
          <w:color w:val="000000"/>
          <w:szCs w:val="20"/>
        </w:rPr>
        <w:t>O ajuste de que trata este dispositivo se limita a sanar erros ou falhas que não alterem a substância das propostas;</w:t>
      </w:r>
    </w:p>
    <w:p w:rsidR="00EF71EB" w:rsidRDefault="00EF71EB" w:rsidP="009D75B9">
      <w:pPr>
        <w:numPr>
          <w:ilvl w:val="2"/>
          <w:numId w:val="26"/>
        </w:numPr>
        <w:pBdr>
          <w:top w:val="nil"/>
          <w:left w:val="nil"/>
          <w:bottom w:val="nil"/>
          <w:right w:val="nil"/>
          <w:between w:val="nil"/>
        </w:pBdr>
        <w:shd w:val="clear" w:color="auto" w:fill="FFFFFF"/>
        <w:spacing w:before="120" w:after="120" w:line="276" w:lineRule="auto"/>
        <w:jc w:val="both"/>
        <w:rPr>
          <w:rFonts w:cs="Arial"/>
          <w:color w:val="000000"/>
          <w:szCs w:val="20"/>
        </w:rPr>
      </w:pPr>
      <w:r>
        <w:rPr>
          <w:rFonts w:eastAsia="Arial" w:cs="Arial"/>
          <w:color w:val="000000"/>
          <w:szCs w:val="20"/>
        </w:rPr>
        <w:t>Considera-se erro no preenchimento da planilha passível de correção a indicação de recolhimento de impostos e contribuições na forma do Simples Nacional, quando não cabível esse regime.</w:t>
      </w:r>
    </w:p>
    <w:p w:rsidR="00EF71EB" w:rsidRDefault="00EF71EB" w:rsidP="009D75B9">
      <w:pPr>
        <w:numPr>
          <w:ilvl w:val="2"/>
          <w:numId w:val="26"/>
        </w:numPr>
        <w:spacing w:before="120" w:after="120" w:line="276" w:lineRule="auto"/>
        <w:ind w:right="-15"/>
        <w:jc w:val="both"/>
      </w:pPr>
      <w:r>
        <w:t>O Pregoeiro deverá verificar se a proposta apresenta o valor total dos custos da contratação, inclusive aqueles estimados para as ocorrências de fatos geradores.</w:t>
      </w:r>
    </w:p>
    <w:p w:rsidR="00EF71EB" w:rsidRDefault="00EF71EB" w:rsidP="009D75B9">
      <w:pPr>
        <w:numPr>
          <w:ilvl w:val="1"/>
          <w:numId w:val="26"/>
        </w:numPr>
        <w:spacing w:before="120" w:after="120" w:line="276" w:lineRule="auto"/>
        <w:ind w:right="-15"/>
        <w:jc w:val="both"/>
        <w:rPr>
          <w:color w:val="000000"/>
        </w:rPr>
      </w:pPr>
      <w:r>
        <w:rPr>
          <w:color w:val="000000"/>
        </w:rPr>
        <w:t>Para fins de análise da proposta quanto ao cumprimento das especificações do objeto, poderá ser colhida a manifestação escrita do setor requisitante do serviço ou da área especializada no objeto.</w:t>
      </w:r>
    </w:p>
    <w:p w:rsidR="00EF71EB" w:rsidRDefault="00EF71EB" w:rsidP="009D75B9">
      <w:pPr>
        <w:numPr>
          <w:ilvl w:val="1"/>
          <w:numId w:val="26"/>
        </w:numPr>
        <w:spacing w:before="120" w:after="120" w:line="276" w:lineRule="auto"/>
        <w:ind w:right="-15"/>
        <w:jc w:val="both"/>
        <w:rPr>
          <w:color w:val="000000"/>
        </w:rPr>
      </w:pPr>
      <w:r>
        <w:rPr>
          <w:color w:val="000000"/>
        </w:rPr>
        <w:t>Se a proposta ou lance vencedor for desclassificado, o Pregoeiro examinará a proposta ou lance subsequente, e, assim sucessivamente, na ordem de classificação.</w:t>
      </w:r>
    </w:p>
    <w:p w:rsidR="00EF71EB" w:rsidRDefault="00EF71EB" w:rsidP="009D75B9">
      <w:pPr>
        <w:numPr>
          <w:ilvl w:val="1"/>
          <w:numId w:val="26"/>
        </w:numPr>
        <w:spacing w:before="120" w:after="120" w:line="276" w:lineRule="auto"/>
        <w:ind w:right="-15"/>
        <w:jc w:val="both"/>
        <w:rPr>
          <w:color w:val="000000"/>
        </w:rPr>
      </w:pPr>
      <w:r>
        <w:rPr>
          <w:color w:val="000000"/>
        </w:rPr>
        <w:lastRenderedPageBreak/>
        <w:t>Havendo necessidade, o Pregoeiro suspenderá a sessão, informando no “chat” a nova data e horário para a continuidade da mesma.</w:t>
      </w:r>
    </w:p>
    <w:p w:rsidR="00EF71EB" w:rsidRDefault="00EF71EB" w:rsidP="009D75B9">
      <w:pPr>
        <w:numPr>
          <w:ilvl w:val="1"/>
          <w:numId w:val="26"/>
        </w:numPr>
        <w:spacing w:before="120" w:after="120" w:line="276" w:lineRule="auto"/>
        <w:ind w:right="-15"/>
        <w:jc w:val="both"/>
        <w:rPr>
          <w:color w:val="000000"/>
        </w:rPr>
      </w:pPr>
      <w:r>
        <w:rPr>
          <w:color w:val="000000"/>
        </w:rPr>
        <w:t>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rsidR="00EF71EB" w:rsidRDefault="00EF71EB" w:rsidP="009D75B9">
      <w:pPr>
        <w:numPr>
          <w:ilvl w:val="1"/>
          <w:numId w:val="26"/>
        </w:numPr>
        <w:spacing w:before="120" w:after="120" w:line="276" w:lineRule="auto"/>
        <w:ind w:right="-15"/>
        <w:jc w:val="both"/>
        <w:rPr>
          <w:color w:val="000000"/>
        </w:rPr>
      </w:pPr>
      <w:r>
        <w:rPr>
          <w:color w:val="000000"/>
        </w:rPr>
        <w:t>Encerrada a análise quanto à aceitação da proposta, o pregoeiro verificará a habilitação do licitante, observado o disposto neste Edital. </w:t>
      </w:r>
    </w:p>
    <w:p w:rsidR="00EF71EB" w:rsidRDefault="00EF71EB" w:rsidP="009D75B9">
      <w:pPr>
        <w:keepNext/>
        <w:keepLines/>
        <w:numPr>
          <w:ilvl w:val="0"/>
          <w:numId w:val="15"/>
        </w:numPr>
        <w:pBdr>
          <w:top w:val="nil"/>
          <w:left w:val="nil"/>
          <w:bottom w:val="nil"/>
          <w:right w:val="nil"/>
          <w:between w:val="nil"/>
        </w:pBdr>
        <w:spacing w:before="480" w:after="120" w:line="276" w:lineRule="auto"/>
        <w:ind w:right="-15"/>
        <w:jc w:val="both"/>
        <w:rPr>
          <w:rFonts w:cs="Arial"/>
          <w:b/>
          <w:color w:val="000000"/>
          <w:szCs w:val="20"/>
        </w:rPr>
      </w:pPr>
      <w:r>
        <w:rPr>
          <w:rFonts w:eastAsia="Arial" w:cs="Arial"/>
          <w:b/>
          <w:color w:val="000000"/>
          <w:szCs w:val="20"/>
        </w:rPr>
        <w:t xml:space="preserve">DA HABILITAÇÃO </w:t>
      </w:r>
    </w:p>
    <w:p w:rsidR="00EF71EB" w:rsidRDefault="00EF71EB" w:rsidP="009D75B9">
      <w:pPr>
        <w:numPr>
          <w:ilvl w:val="1"/>
          <w:numId w:val="16"/>
        </w:numPr>
        <w:pBdr>
          <w:top w:val="nil"/>
          <w:left w:val="nil"/>
          <w:bottom w:val="nil"/>
          <w:right w:val="nil"/>
          <w:between w:val="nil"/>
        </w:pBdr>
        <w:spacing w:before="120" w:after="120" w:line="276" w:lineRule="auto"/>
        <w:jc w:val="both"/>
        <w:rPr>
          <w:color w:val="000000"/>
          <w:szCs w:val="20"/>
        </w:rPr>
      </w:pPr>
      <w:r>
        <w:rPr>
          <w:rFonts w:eastAsia="Arial" w:cs="Arial"/>
          <w:color w:val="000000"/>
          <w:szCs w:val="20"/>
        </w:rPr>
        <w:t xml:space="preserve">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cadastros:  </w:t>
      </w:r>
    </w:p>
    <w:p w:rsidR="00EF71EB" w:rsidRDefault="00EF71EB" w:rsidP="00EF71EB">
      <w:pPr>
        <w:pBdr>
          <w:top w:val="nil"/>
          <w:left w:val="nil"/>
          <w:bottom w:val="nil"/>
          <w:right w:val="nil"/>
          <w:between w:val="nil"/>
        </w:pBdr>
        <w:spacing w:before="120" w:line="276" w:lineRule="auto"/>
        <w:ind w:left="1134"/>
        <w:jc w:val="both"/>
        <w:rPr>
          <w:rFonts w:cs="Arial"/>
          <w:color w:val="000000"/>
          <w:szCs w:val="20"/>
        </w:rPr>
      </w:pPr>
      <w:r>
        <w:rPr>
          <w:rFonts w:eastAsia="Arial" w:cs="Arial"/>
          <w:color w:val="000000"/>
          <w:szCs w:val="20"/>
        </w:rPr>
        <w:t xml:space="preserve">a) SICAF;  </w:t>
      </w:r>
    </w:p>
    <w:p w:rsidR="00EF71EB" w:rsidRDefault="00EF71EB" w:rsidP="00EF71EB">
      <w:pPr>
        <w:pBdr>
          <w:top w:val="nil"/>
          <w:left w:val="nil"/>
          <w:bottom w:val="nil"/>
          <w:right w:val="nil"/>
          <w:between w:val="nil"/>
        </w:pBdr>
        <w:spacing w:line="276" w:lineRule="auto"/>
        <w:ind w:left="1134"/>
        <w:jc w:val="both"/>
        <w:rPr>
          <w:rFonts w:cs="Arial"/>
          <w:color w:val="000000"/>
          <w:szCs w:val="20"/>
        </w:rPr>
      </w:pPr>
      <w:r>
        <w:rPr>
          <w:rFonts w:eastAsia="Arial" w:cs="Arial"/>
          <w:color w:val="000000"/>
          <w:szCs w:val="20"/>
        </w:rPr>
        <w:t>b) Cadastro Nacional de Empresas Inidôneas e Suspensas - CEIS, mantido pela Controladoria-Geral da União (</w:t>
      </w:r>
      <w:hyperlink r:id="rId15">
        <w:r>
          <w:rPr>
            <w:rFonts w:eastAsia="Arial" w:cs="Arial"/>
            <w:color w:val="000080"/>
            <w:szCs w:val="20"/>
            <w:u w:val="single"/>
          </w:rPr>
          <w:t>www.portaldatransparencia.gov.br/ceis</w:t>
        </w:r>
      </w:hyperlink>
      <w:r>
        <w:rPr>
          <w:rFonts w:eastAsia="Arial" w:cs="Arial"/>
          <w:color w:val="000000"/>
          <w:szCs w:val="20"/>
        </w:rPr>
        <w:t xml:space="preserve">);  </w:t>
      </w:r>
    </w:p>
    <w:p w:rsidR="00EF71EB" w:rsidRDefault="00EF71EB" w:rsidP="00EF71EB">
      <w:pPr>
        <w:pBdr>
          <w:top w:val="nil"/>
          <w:left w:val="nil"/>
          <w:bottom w:val="nil"/>
          <w:right w:val="nil"/>
          <w:between w:val="nil"/>
        </w:pBdr>
        <w:spacing w:line="276" w:lineRule="auto"/>
        <w:ind w:left="1134"/>
        <w:jc w:val="both"/>
        <w:rPr>
          <w:rFonts w:cs="Arial"/>
          <w:color w:val="000000"/>
          <w:szCs w:val="20"/>
        </w:rPr>
      </w:pPr>
      <w:r>
        <w:rPr>
          <w:rFonts w:eastAsia="Arial" w:cs="Arial"/>
          <w:color w:val="000000"/>
          <w:szCs w:val="20"/>
        </w:rPr>
        <w:t>c) Cadastro Nacional de Condenações Cíveis por Atos de Improbidade Administrativa, mantido pelo Conselho Nacional de Justiça (</w:t>
      </w:r>
      <w:hyperlink r:id="rId16">
        <w:r>
          <w:rPr>
            <w:rFonts w:eastAsia="Arial" w:cs="Arial"/>
            <w:color w:val="000080"/>
            <w:szCs w:val="20"/>
            <w:u w:val="single"/>
          </w:rPr>
          <w:t>www.cnj.jus.br/improbidade_adm/consultar_requerido.php</w:t>
        </w:r>
      </w:hyperlink>
      <w:r>
        <w:rPr>
          <w:rFonts w:eastAsia="Arial" w:cs="Arial"/>
          <w:color w:val="000000"/>
          <w:szCs w:val="20"/>
        </w:rPr>
        <w:t xml:space="preserve">).  </w:t>
      </w:r>
    </w:p>
    <w:p w:rsidR="00EF71EB" w:rsidRDefault="00EF71EB" w:rsidP="00EF71EB">
      <w:pPr>
        <w:pBdr>
          <w:top w:val="nil"/>
          <w:left w:val="nil"/>
          <w:bottom w:val="nil"/>
          <w:right w:val="nil"/>
          <w:between w:val="nil"/>
        </w:pBdr>
        <w:spacing w:line="276" w:lineRule="auto"/>
        <w:ind w:left="1134"/>
        <w:jc w:val="both"/>
        <w:rPr>
          <w:rFonts w:cs="Arial"/>
          <w:color w:val="000000"/>
          <w:szCs w:val="20"/>
        </w:rPr>
      </w:pPr>
      <w:r>
        <w:rPr>
          <w:rFonts w:eastAsia="Arial" w:cs="Arial"/>
          <w:color w:val="000000"/>
          <w:szCs w:val="20"/>
        </w:rPr>
        <w:t xml:space="preserve">d) Lista de Inidôneos e o Cadastro Integrado de Condenações por Ilícitos Administrativos - CADICON, mantidos pelo Tribunal de Contas da União - TCU; </w:t>
      </w:r>
    </w:p>
    <w:p w:rsidR="00EF71EB" w:rsidRDefault="00EF71EB" w:rsidP="009D75B9">
      <w:pPr>
        <w:numPr>
          <w:ilvl w:val="2"/>
          <w:numId w:val="16"/>
        </w:numPr>
        <w:pBdr>
          <w:top w:val="nil"/>
          <w:left w:val="nil"/>
          <w:bottom w:val="nil"/>
          <w:right w:val="nil"/>
          <w:between w:val="nil"/>
        </w:pBdr>
        <w:spacing w:after="120" w:line="276" w:lineRule="auto"/>
        <w:jc w:val="both"/>
        <w:rPr>
          <w:color w:val="000000"/>
          <w:szCs w:val="20"/>
        </w:rPr>
      </w:pPr>
      <w:r>
        <w:rPr>
          <w:rFonts w:eastAsia="Arial" w:cs="Arial"/>
          <w:color w:val="000000"/>
          <w:szCs w:val="20"/>
        </w:rPr>
        <w:t>Para a consulta de licitantes pessoa jurídica poderá haver a substituição das consultas das alíneas “b”, “c” e “d” acima pela Consulta Consolidada de Pessoa Jurídica do TCU (https://certidoesapf.apps.tcu.gov.br/)</w:t>
      </w:r>
    </w:p>
    <w:p w:rsidR="00EF71EB" w:rsidRDefault="00EF71EB" w:rsidP="009D75B9">
      <w:pPr>
        <w:numPr>
          <w:ilvl w:val="2"/>
          <w:numId w:val="16"/>
        </w:numPr>
        <w:pBdr>
          <w:top w:val="nil"/>
          <w:left w:val="nil"/>
          <w:bottom w:val="nil"/>
          <w:right w:val="nil"/>
          <w:between w:val="nil"/>
        </w:pBdr>
        <w:spacing w:before="120" w:after="120" w:line="276" w:lineRule="auto"/>
        <w:ind w:left="1134" w:firstLine="0"/>
        <w:jc w:val="both"/>
        <w:rPr>
          <w:rFonts w:cs="Arial"/>
          <w:color w:val="000000"/>
          <w:szCs w:val="20"/>
        </w:rPr>
      </w:pPr>
      <w:r>
        <w:rPr>
          <w:rFonts w:eastAsia="Arial" w:cs="Arial"/>
          <w:color w:val="00000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F71EB" w:rsidRDefault="00EF71EB" w:rsidP="009D75B9">
      <w:pPr>
        <w:numPr>
          <w:ilvl w:val="3"/>
          <w:numId w:val="16"/>
        </w:numPr>
        <w:pBdr>
          <w:top w:val="nil"/>
          <w:left w:val="nil"/>
          <w:bottom w:val="nil"/>
          <w:right w:val="nil"/>
          <w:between w:val="nil"/>
        </w:pBdr>
        <w:spacing w:before="120" w:after="120" w:line="276" w:lineRule="auto"/>
        <w:jc w:val="both"/>
        <w:rPr>
          <w:rFonts w:cs="Arial"/>
          <w:color w:val="000000"/>
          <w:szCs w:val="20"/>
        </w:rPr>
      </w:pPr>
      <w:r>
        <w:rPr>
          <w:rFonts w:eastAsia="Arial" w:cs="Arial"/>
          <w:color w:val="000000"/>
          <w:szCs w:val="20"/>
        </w:rPr>
        <w:t>Caso conste na Consulta de Situação do Fornecedor a existência de Ocorrências Impeditivas Indiretas, o gestor diligenciará para verificar se houve fraude por parte das empresas apontadas no Relatório de Ocorrências Impeditivas Indiretas.</w:t>
      </w:r>
    </w:p>
    <w:p w:rsidR="00EF71EB" w:rsidRDefault="00EF71EB" w:rsidP="009D75B9">
      <w:pPr>
        <w:numPr>
          <w:ilvl w:val="4"/>
          <w:numId w:val="16"/>
        </w:numPr>
        <w:pBdr>
          <w:top w:val="nil"/>
          <w:left w:val="nil"/>
          <w:bottom w:val="nil"/>
          <w:right w:val="nil"/>
          <w:between w:val="nil"/>
        </w:pBdr>
        <w:spacing w:before="120" w:after="120" w:line="276" w:lineRule="auto"/>
        <w:jc w:val="both"/>
        <w:rPr>
          <w:rFonts w:cs="Arial"/>
          <w:color w:val="000000"/>
          <w:szCs w:val="20"/>
        </w:rPr>
      </w:pPr>
      <w:r>
        <w:rPr>
          <w:rFonts w:eastAsia="Arial" w:cs="Arial"/>
          <w:color w:val="000000"/>
          <w:szCs w:val="20"/>
        </w:rPr>
        <w:t>A tentativa de burla será verificada por meio dos vínculos societários, linhas de fornecimento similares, dentre outros.</w:t>
      </w:r>
    </w:p>
    <w:p w:rsidR="00EF71EB" w:rsidRDefault="00EF71EB" w:rsidP="009D75B9">
      <w:pPr>
        <w:numPr>
          <w:ilvl w:val="4"/>
          <w:numId w:val="16"/>
        </w:numPr>
        <w:pBdr>
          <w:top w:val="nil"/>
          <w:left w:val="nil"/>
          <w:bottom w:val="nil"/>
          <w:right w:val="nil"/>
          <w:between w:val="nil"/>
        </w:pBdr>
        <w:spacing w:before="120" w:after="120" w:line="276" w:lineRule="auto"/>
        <w:jc w:val="both"/>
        <w:rPr>
          <w:rFonts w:cs="Arial"/>
          <w:color w:val="000000"/>
          <w:szCs w:val="20"/>
        </w:rPr>
      </w:pPr>
      <w:r>
        <w:rPr>
          <w:rFonts w:eastAsia="Arial" w:cs="Arial"/>
          <w:color w:val="000000"/>
          <w:szCs w:val="20"/>
        </w:rPr>
        <w:t>O licitante será convocado para manifestação previamente à sua desclassificação.</w:t>
      </w:r>
    </w:p>
    <w:p w:rsidR="00EF71EB" w:rsidRDefault="00EF71EB" w:rsidP="009D75B9">
      <w:pPr>
        <w:numPr>
          <w:ilvl w:val="2"/>
          <w:numId w:val="16"/>
        </w:numPr>
        <w:pBdr>
          <w:top w:val="nil"/>
          <w:left w:val="nil"/>
          <w:bottom w:val="nil"/>
          <w:right w:val="nil"/>
          <w:between w:val="nil"/>
        </w:pBdr>
        <w:spacing w:before="120" w:after="120" w:line="276" w:lineRule="auto"/>
        <w:ind w:left="1134" w:firstLine="0"/>
        <w:jc w:val="both"/>
        <w:rPr>
          <w:rFonts w:cs="Arial"/>
          <w:color w:val="000000"/>
          <w:szCs w:val="20"/>
        </w:rPr>
      </w:pPr>
      <w:r>
        <w:rPr>
          <w:rFonts w:eastAsia="Arial" w:cs="Arial"/>
          <w:color w:val="000000"/>
          <w:szCs w:val="20"/>
        </w:rPr>
        <w:lastRenderedPageBreak/>
        <w:t>Constatada a existência de sanção, o Pregoeiro reputará o licitante inabilitado, por falta de condição de participação.</w:t>
      </w:r>
    </w:p>
    <w:p w:rsidR="00EF71EB" w:rsidRDefault="00EF71EB" w:rsidP="009D75B9">
      <w:pPr>
        <w:numPr>
          <w:ilvl w:val="2"/>
          <w:numId w:val="16"/>
        </w:numPr>
        <w:pBdr>
          <w:top w:val="nil"/>
          <w:left w:val="nil"/>
          <w:bottom w:val="nil"/>
          <w:right w:val="nil"/>
          <w:between w:val="nil"/>
        </w:pBdr>
        <w:spacing w:before="120" w:after="120" w:line="276" w:lineRule="auto"/>
        <w:ind w:left="2279"/>
        <w:jc w:val="both"/>
        <w:rPr>
          <w:rFonts w:cs="Arial"/>
          <w:color w:val="000000"/>
          <w:szCs w:val="20"/>
        </w:rPr>
      </w:pPr>
      <w:r>
        <w:rPr>
          <w:rFonts w:eastAsia="Arial" w:cs="Arial"/>
          <w:color w:val="000000"/>
          <w:szCs w:val="20"/>
        </w:rPr>
        <w:t>No caso de inabilitação, haverá nova verificação, pelo sistema, da eventual ocorrência do empate ficto, previsto nos arts. 44 e 45 da Lei Complementar nº 123, de 2006, seguindo-se a disciplina antes estabelecida para aceitação da proposta subsequente.</w:t>
      </w:r>
    </w:p>
    <w:p w:rsidR="00EF71EB" w:rsidRDefault="00EF71EB" w:rsidP="009D75B9">
      <w:pPr>
        <w:numPr>
          <w:ilvl w:val="1"/>
          <w:numId w:val="16"/>
        </w:numPr>
        <w:pBdr>
          <w:top w:val="nil"/>
          <w:left w:val="nil"/>
          <w:bottom w:val="nil"/>
          <w:right w:val="nil"/>
          <w:between w:val="nil"/>
        </w:pBdr>
        <w:shd w:val="clear" w:color="auto" w:fill="FFFFFF"/>
        <w:spacing w:before="120" w:after="120" w:line="276" w:lineRule="auto"/>
        <w:ind w:left="924" w:hanging="357"/>
        <w:jc w:val="both"/>
        <w:rPr>
          <w:rFonts w:cs="Arial"/>
          <w:color w:val="000000"/>
          <w:szCs w:val="20"/>
        </w:rPr>
      </w:pPr>
      <w:r>
        <w:rPr>
          <w:rFonts w:eastAsia="Arial" w:cs="Arial"/>
          <w:color w:val="000000"/>
          <w:szCs w:val="20"/>
        </w:rPr>
        <w:t>Caso atendidas as condições de participação, a habilitação do licitante será verificada por meio do SICAF, nos documentos por ele abrangidos, em relação à habilitação jurídica, à regularidade fiscal, à qualificação econômica financeira e habilitação técnica, conforme o disposto na Instrução Normativa SEGES/MP nº 03, de 2018.</w:t>
      </w:r>
    </w:p>
    <w:p w:rsidR="00EF71EB" w:rsidRDefault="00EF71EB" w:rsidP="009D75B9">
      <w:pPr>
        <w:numPr>
          <w:ilvl w:val="2"/>
          <w:numId w:val="16"/>
        </w:numPr>
        <w:spacing w:before="120" w:after="120" w:line="276" w:lineRule="auto"/>
        <w:ind w:left="1854"/>
        <w:jc w:val="both"/>
        <w:rPr>
          <w:color w:val="000000"/>
        </w:rPr>
      </w:pPr>
      <w:r>
        <w:t>O interessado, para efeitos de habilitação prevista na Instrução Normativa SEGES/MP nº 03, de 2018 mediante utilização do sistema, deverá atender às condições exigidas no cadastramento no SICAF até o terceiro dia útil anterior à data prevista para recebimento das propostas;</w:t>
      </w:r>
    </w:p>
    <w:p w:rsidR="00EF71EB" w:rsidRDefault="00EF71EB" w:rsidP="009D75B9">
      <w:pPr>
        <w:numPr>
          <w:ilvl w:val="2"/>
          <w:numId w:val="16"/>
        </w:numPr>
        <w:spacing w:before="120" w:after="120" w:line="276" w:lineRule="auto"/>
        <w:ind w:left="1854"/>
        <w:jc w:val="both"/>
        <w:rPr>
          <w:color w:val="000000"/>
        </w:rPr>
      </w:pPr>
      <w:r>
        <w:rPr>
          <w:color w:val="000000"/>
        </w:rPr>
        <w:t>É dever do licitante atualizar previamente as comprovações constantes do SICAF para que estejam vigentes na data da abertura da sessão pública, ou encaminhar, em conjunto com a apresentação da proposta, a respectiva documentação atualizada.</w:t>
      </w:r>
    </w:p>
    <w:p w:rsidR="00EF71EB" w:rsidRDefault="00EF71EB" w:rsidP="009D75B9">
      <w:pPr>
        <w:numPr>
          <w:ilvl w:val="2"/>
          <w:numId w:val="16"/>
        </w:numPr>
        <w:spacing w:before="120" w:after="120" w:line="276" w:lineRule="auto"/>
        <w:ind w:left="1854"/>
        <w:jc w:val="both"/>
        <w:rPr>
          <w:color w:val="000000"/>
        </w:rPr>
      </w:pPr>
      <w:r>
        <w:rPr>
          <w:color w:val="000000"/>
        </w:rPr>
        <w:t>O descumprimento do subitem acima implicará a inabilitação do licitante, exceto se a consulta aos sítios eletrônicos oficiais emissores de certidões feita pelo Pregoeiro lograr êxito em encontrar a(s) certidão(ões) válida(s), conforme art. 43, §3º, do Decreto 10.024, de 2019.</w:t>
      </w:r>
    </w:p>
    <w:p w:rsidR="00EF71EB" w:rsidRDefault="00EF71EB" w:rsidP="009D75B9">
      <w:pPr>
        <w:numPr>
          <w:ilvl w:val="1"/>
          <w:numId w:val="16"/>
        </w:numPr>
        <w:pBdr>
          <w:top w:val="nil"/>
          <w:left w:val="nil"/>
          <w:bottom w:val="nil"/>
          <w:right w:val="nil"/>
          <w:between w:val="nil"/>
        </w:pBdr>
        <w:shd w:val="clear" w:color="auto" w:fill="FFFFFF"/>
        <w:spacing w:before="120" w:after="120" w:line="276" w:lineRule="auto"/>
        <w:jc w:val="both"/>
        <w:rPr>
          <w:rFonts w:cs="Arial"/>
          <w:color w:val="000000"/>
          <w:szCs w:val="20"/>
        </w:rPr>
      </w:pPr>
      <w:r>
        <w:rPr>
          <w:rFonts w:eastAsia="Arial" w:cs="Arial"/>
          <w:color w:val="000000"/>
          <w:szCs w:val="20"/>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EF71EB" w:rsidRDefault="00EF71EB" w:rsidP="009D75B9">
      <w:pPr>
        <w:numPr>
          <w:ilvl w:val="1"/>
          <w:numId w:val="16"/>
        </w:numPr>
        <w:spacing w:before="120" w:after="120" w:line="276" w:lineRule="auto"/>
        <w:jc w:val="both"/>
      </w:pPr>
      <w:r>
        <w:t>Somente haverá a necessidade de comprovação do preenchimento de requisitos mediante apresentação dos documentos originais não-digitais quando houver dúvida em relação à integridade do documento digital.</w:t>
      </w:r>
    </w:p>
    <w:p w:rsidR="00EF71EB" w:rsidRDefault="00EF71EB" w:rsidP="009D75B9">
      <w:pPr>
        <w:numPr>
          <w:ilvl w:val="1"/>
          <w:numId w:val="16"/>
        </w:numPr>
        <w:spacing w:before="120" w:after="120" w:line="276" w:lineRule="auto"/>
        <w:ind w:left="425" w:firstLine="0"/>
        <w:jc w:val="both"/>
        <w:rPr>
          <w:color w:val="000000"/>
        </w:rPr>
      </w:pPr>
      <w:r>
        <w:rPr>
          <w:color w:val="000000"/>
        </w:rPr>
        <w:t>Não serão aceitos documentos de habilitação com indicação de CNPJ/CPF diferentes, salvo aqueles legalmente permitidos.</w:t>
      </w:r>
    </w:p>
    <w:p w:rsidR="00EF71EB" w:rsidRDefault="00EF71EB" w:rsidP="009D75B9">
      <w:pPr>
        <w:numPr>
          <w:ilvl w:val="1"/>
          <w:numId w:val="16"/>
        </w:numPr>
        <w:spacing w:before="120" w:after="120" w:line="276" w:lineRule="auto"/>
        <w:jc w:val="both"/>
        <w:rPr>
          <w:color w:val="000000"/>
        </w:rPr>
      </w:pPr>
      <w:r>
        <w:rPr>
          <w:color w:val="00000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EF71EB" w:rsidRDefault="00EF71EB" w:rsidP="009D75B9">
      <w:pPr>
        <w:numPr>
          <w:ilvl w:val="2"/>
          <w:numId w:val="16"/>
        </w:numPr>
        <w:spacing w:before="120" w:after="120" w:line="276" w:lineRule="auto"/>
        <w:jc w:val="both"/>
        <w:rPr>
          <w:color w:val="000000"/>
        </w:rPr>
      </w:pPr>
      <w:r>
        <w:rPr>
          <w:color w:val="000000"/>
        </w:rPr>
        <w:t>Serão aceitos registros de CNPJ de licitante matriz e filial com diferenças de números de documentos pertinentes ao CND e ao CRF/FGTS, quando for comprovada a centralização do recolhimento dessas contribuições.</w:t>
      </w:r>
    </w:p>
    <w:p w:rsidR="00EF71EB" w:rsidRDefault="00EF71EB" w:rsidP="009D75B9">
      <w:pPr>
        <w:numPr>
          <w:ilvl w:val="1"/>
          <w:numId w:val="16"/>
        </w:numPr>
        <w:spacing w:before="120" w:after="120" w:line="276" w:lineRule="auto"/>
        <w:jc w:val="both"/>
        <w:rPr>
          <w:color w:val="000000"/>
        </w:rPr>
      </w:pPr>
      <w:r>
        <w:rPr>
          <w:color w:val="000000"/>
        </w:rPr>
        <w:t>Ressalvado o disposto no item 5.3, os licitantes deverão encaminhar, nos termos deste Edital, a documentação relacionada nos itens a seguir, para fins de habilitação:</w:t>
      </w:r>
    </w:p>
    <w:p w:rsidR="00EF71EB" w:rsidRDefault="00EF71EB" w:rsidP="009D75B9">
      <w:pPr>
        <w:numPr>
          <w:ilvl w:val="1"/>
          <w:numId w:val="14"/>
        </w:numPr>
        <w:spacing w:before="120" w:after="120" w:line="276" w:lineRule="auto"/>
        <w:ind w:left="785"/>
        <w:jc w:val="both"/>
        <w:rPr>
          <w:color w:val="000000"/>
        </w:rPr>
      </w:pPr>
      <w:r>
        <w:rPr>
          <w:b/>
          <w:color w:val="000000"/>
        </w:rPr>
        <w:lastRenderedPageBreak/>
        <w:t xml:space="preserve">Habilitação jurídica: </w:t>
      </w:r>
    </w:p>
    <w:p w:rsidR="00EF71EB" w:rsidRDefault="00EF71EB" w:rsidP="009D75B9">
      <w:pPr>
        <w:numPr>
          <w:ilvl w:val="2"/>
          <w:numId w:val="14"/>
        </w:numPr>
        <w:tabs>
          <w:tab w:val="left" w:pos="1440"/>
        </w:tabs>
        <w:spacing w:before="120" w:after="120" w:line="276" w:lineRule="auto"/>
        <w:ind w:left="1134" w:firstLine="0"/>
        <w:jc w:val="both"/>
      </w:pPr>
      <w:r>
        <w:t>no caso de empresário individual, inscrição no Registro Público de Empresas Mercantis, a cargo da Junta Comercial da respectiva sede;</w:t>
      </w:r>
    </w:p>
    <w:p w:rsidR="00EF71EB" w:rsidRDefault="00EF71EB" w:rsidP="009D75B9">
      <w:pPr>
        <w:numPr>
          <w:ilvl w:val="2"/>
          <w:numId w:val="14"/>
        </w:numPr>
        <w:tabs>
          <w:tab w:val="left" w:pos="1440"/>
        </w:tabs>
        <w:spacing w:before="120" w:after="120" w:line="276" w:lineRule="auto"/>
        <w:ind w:left="1134" w:firstLine="0"/>
        <w:jc w:val="both"/>
        <w:rPr>
          <w:color w:val="000000"/>
        </w:rPr>
      </w:pPr>
      <w:r>
        <w:rPr>
          <w:color w:val="00000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F71EB" w:rsidRDefault="00EF71EB" w:rsidP="009D75B9">
      <w:pPr>
        <w:numPr>
          <w:ilvl w:val="2"/>
          <w:numId w:val="14"/>
        </w:numPr>
        <w:tabs>
          <w:tab w:val="left" w:pos="1440"/>
        </w:tabs>
        <w:spacing w:before="120" w:after="120" w:line="276" w:lineRule="auto"/>
        <w:ind w:left="1134" w:firstLine="0"/>
        <w:jc w:val="both"/>
        <w:rPr>
          <w:color w:val="000000"/>
        </w:rPr>
      </w:pPr>
      <w:r>
        <w:rPr>
          <w:color w:val="000000"/>
        </w:rPr>
        <w:t>inscrição no Registro Público de Empresas Mercantis onde opera, com averbação no Registro onde tem sede a matriz, no caso de ser o participante sucursal, filial ou agência;</w:t>
      </w:r>
    </w:p>
    <w:p w:rsidR="00EF71EB" w:rsidRDefault="00EF71EB" w:rsidP="009D75B9">
      <w:pPr>
        <w:numPr>
          <w:ilvl w:val="2"/>
          <w:numId w:val="14"/>
        </w:numPr>
        <w:tabs>
          <w:tab w:val="left" w:pos="1440"/>
        </w:tabs>
        <w:spacing w:before="120" w:after="120" w:line="276" w:lineRule="auto"/>
        <w:ind w:left="1134" w:firstLine="0"/>
        <w:jc w:val="both"/>
      </w:pPr>
      <w:r>
        <w:rPr>
          <w:color w:val="000000"/>
        </w:rPr>
        <w:t>No caso de sociedade simples: inscrição do ato constitutivo no Registro Civil das Pessoas Jurídicas do local de sua sede, acompanhada de prova da indicação dos seus administradores;</w:t>
      </w:r>
    </w:p>
    <w:p w:rsidR="00EF71EB" w:rsidRDefault="00EF71EB" w:rsidP="009D75B9">
      <w:pPr>
        <w:numPr>
          <w:ilvl w:val="2"/>
          <w:numId w:val="14"/>
        </w:numPr>
        <w:tabs>
          <w:tab w:val="left" w:pos="1440"/>
        </w:tabs>
        <w:spacing w:before="120" w:after="120" w:line="276" w:lineRule="auto"/>
        <w:ind w:left="1134" w:firstLine="0"/>
        <w:jc w:val="both"/>
        <w:rPr>
          <w:color w:val="000000"/>
        </w:rPr>
      </w:pPr>
      <w:r>
        <w:rPr>
          <w:color w:val="000000"/>
        </w:rPr>
        <w:t>decreto de autorização, em se tratando de sociedade empresária estrangeira em funcionamento no País;</w:t>
      </w:r>
    </w:p>
    <w:p w:rsidR="00EF71EB" w:rsidRDefault="00EF71EB" w:rsidP="009D75B9">
      <w:pPr>
        <w:numPr>
          <w:ilvl w:val="2"/>
          <w:numId w:val="14"/>
        </w:numPr>
        <w:pBdr>
          <w:top w:val="nil"/>
          <w:left w:val="nil"/>
          <w:bottom w:val="nil"/>
          <w:right w:val="nil"/>
          <w:between w:val="nil"/>
        </w:pBdr>
        <w:spacing w:before="120" w:line="276" w:lineRule="auto"/>
        <w:ind w:left="1134" w:firstLine="0"/>
        <w:jc w:val="both"/>
        <w:rPr>
          <w:rFonts w:cs="Arial"/>
          <w:color w:val="000000"/>
          <w:szCs w:val="20"/>
        </w:rPr>
      </w:pPr>
      <w:r>
        <w:rPr>
          <w:rFonts w:eastAsia="Arial" w:cs="Arial"/>
          <w:color w:val="000000"/>
          <w:szCs w:val="20"/>
        </w:rPr>
        <w:t>Os documentos acima deverão estar acompanhados de todas as alterações ou da consolidação respectiva.</w:t>
      </w:r>
    </w:p>
    <w:p w:rsidR="00EF71EB" w:rsidRDefault="00EF71EB" w:rsidP="00EF71EB">
      <w:pPr>
        <w:pBdr>
          <w:top w:val="nil"/>
          <w:left w:val="nil"/>
          <w:bottom w:val="nil"/>
          <w:right w:val="nil"/>
          <w:between w:val="nil"/>
        </w:pBdr>
        <w:spacing w:after="120" w:line="276" w:lineRule="auto"/>
        <w:ind w:left="1134"/>
        <w:jc w:val="both"/>
        <w:rPr>
          <w:rFonts w:cs="Arial"/>
          <w:color w:val="000000"/>
          <w:szCs w:val="20"/>
        </w:rPr>
      </w:pPr>
    </w:p>
    <w:p w:rsidR="00EF71EB" w:rsidRDefault="00EF71EB" w:rsidP="009D75B9">
      <w:pPr>
        <w:numPr>
          <w:ilvl w:val="1"/>
          <w:numId w:val="14"/>
        </w:numPr>
        <w:spacing w:before="120" w:after="120" w:line="276" w:lineRule="auto"/>
        <w:ind w:left="425" w:firstLine="0"/>
        <w:jc w:val="both"/>
        <w:rPr>
          <w:color w:val="000000"/>
        </w:rPr>
      </w:pPr>
      <w:r>
        <w:rPr>
          <w:b/>
          <w:color w:val="000000"/>
        </w:rPr>
        <w:t xml:space="preserve"> Regularidade fiscal e trabalhista:</w:t>
      </w:r>
    </w:p>
    <w:p w:rsidR="00EF71EB" w:rsidRDefault="00EF71EB" w:rsidP="009D75B9">
      <w:pPr>
        <w:numPr>
          <w:ilvl w:val="2"/>
          <w:numId w:val="14"/>
        </w:numPr>
        <w:tabs>
          <w:tab w:val="left" w:pos="1440"/>
        </w:tabs>
        <w:spacing w:before="120" w:after="120" w:line="276" w:lineRule="auto"/>
        <w:ind w:left="1134" w:firstLine="0"/>
        <w:jc w:val="both"/>
      </w:pPr>
      <w:r>
        <w:t>prova de inscrição no Cadastro Nacional de Pessoas Jurídicas;</w:t>
      </w:r>
    </w:p>
    <w:p w:rsidR="00EF71EB" w:rsidRDefault="00EF71EB" w:rsidP="009D75B9">
      <w:pPr>
        <w:numPr>
          <w:ilvl w:val="2"/>
          <w:numId w:val="14"/>
        </w:numPr>
        <w:tabs>
          <w:tab w:val="left" w:pos="1440"/>
        </w:tabs>
        <w:spacing w:before="120" w:after="120" w:line="276" w:lineRule="auto"/>
        <w:ind w:left="1134" w:firstLine="0"/>
        <w:jc w:val="both"/>
      </w:pPr>
      <w: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EF71EB" w:rsidRDefault="00EF71EB" w:rsidP="009D75B9">
      <w:pPr>
        <w:numPr>
          <w:ilvl w:val="2"/>
          <w:numId w:val="14"/>
        </w:numPr>
        <w:tabs>
          <w:tab w:val="left" w:pos="1440"/>
        </w:tabs>
        <w:spacing w:before="120" w:after="120" w:line="276" w:lineRule="auto"/>
        <w:ind w:left="1134" w:firstLine="0"/>
        <w:jc w:val="both"/>
        <w:rPr>
          <w:color w:val="000000"/>
        </w:rPr>
      </w:pPr>
      <w:r>
        <w:rPr>
          <w:color w:val="000000"/>
        </w:rPr>
        <w:t>prova de regularidade com o Fundo de Garantia do Tempo de Serviço (FGTS);</w:t>
      </w:r>
    </w:p>
    <w:p w:rsidR="00EF71EB" w:rsidRDefault="00EF71EB" w:rsidP="009D75B9">
      <w:pPr>
        <w:numPr>
          <w:ilvl w:val="2"/>
          <w:numId w:val="14"/>
        </w:numPr>
        <w:tabs>
          <w:tab w:val="left" w:pos="1440"/>
        </w:tabs>
        <w:spacing w:before="120" w:after="120" w:line="276" w:lineRule="auto"/>
        <w:ind w:left="1134" w:firstLine="0"/>
        <w:jc w:val="both"/>
      </w:pPr>
      <w: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EF71EB" w:rsidRDefault="00EF71EB" w:rsidP="009D75B9">
      <w:pPr>
        <w:numPr>
          <w:ilvl w:val="2"/>
          <w:numId w:val="14"/>
        </w:numPr>
        <w:tabs>
          <w:tab w:val="left" w:pos="1440"/>
        </w:tabs>
        <w:spacing w:before="120" w:after="120" w:line="276" w:lineRule="auto"/>
        <w:ind w:left="1134" w:firstLine="0"/>
        <w:jc w:val="both"/>
      </w:pPr>
      <w:r>
        <w:t xml:space="preserve">prova de inscrição no cadastro de contribuintes municipal, relativo ao domicílio ou sede do licitante, pertinente ao seu ramo de atividade e compatível com o objeto contratual; </w:t>
      </w:r>
    </w:p>
    <w:p w:rsidR="00EF71EB" w:rsidRDefault="00EF71EB" w:rsidP="009D75B9">
      <w:pPr>
        <w:numPr>
          <w:ilvl w:val="2"/>
          <w:numId w:val="14"/>
        </w:numPr>
        <w:tabs>
          <w:tab w:val="left" w:pos="1440"/>
        </w:tabs>
        <w:spacing w:before="120" w:after="120" w:line="276" w:lineRule="auto"/>
        <w:ind w:left="1134" w:firstLine="0"/>
        <w:jc w:val="both"/>
      </w:pPr>
      <w:r>
        <w:t xml:space="preserve">prova de regularidade com a Fazenda Municipal do domicílio ou sede do licitante, relativa à atividade em cujo exercício contrata ou concorre; </w:t>
      </w:r>
    </w:p>
    <w:p w:rsidR="00EF71EB" w:rsidRDefault="00EF71EB" w:rsidP="009D75B9">
      <w:pPr>
        <w:numPr>
          <w:ilvl w:val="2"/>
          <w:numId w:val="14"/>
        </w:numPr>
        <w:tabs>
          <w:tab w:val="left" w:pos="1440"/>
        </w:tabs>
        <w:spacing w:before="120" w:after="120" w:line="276" w:lineRule="auto"/>
        <w:ind w:left="1134" w:firstLine="0"/>
        <w:jc w:val="both"/>
      </w:pPr>
      <w:r>
        <w:lastRenderedPageBreak/>
        <w:t xml:space="preserve">caso o licitante seja considerado isento dos tributos municipais relacionados ao objeto licitatório, deverá comprovar tal condição mediante a apresentação de declaração da Fazenda Municipa ldo seu domicílio ou sede, ou outra equivalente, na forma da lei; </w:t>
      </w:r>
    </w:p>
    <w:p w:rsidR="00EF71EB" w:rsidRDefault="00EF71EB" w:rsidP="009D75B9">
      <w:pPr>
        <w:numPr>
          <w:ilvl w:val="1"/>
          <w:numId w:val="14"/>
        </w:numPr>
        <w:spacing w:before="120" w:after="120" w:line="276" w:lineRule="auto"/>
        <w:ind w:left="425" w:firstLine="0"/>
        <w:jc w:val="both"/>
        <w:rPr>
          <w:color w:val="000000"/>
        </w:rPr>
      </w:pPr>
      <w:r>
        <w:rPr>
          <w:b/>
          <w:color w:val="000000"/>
        </w:rPr>
        <w:t>Qualificação Econômico-Financeira:</w:t>
      </w:r>
    </w:p>
    <w:p w:rsidR="00EF71EB" w:rsidRDefault="00EF71EB" w:rsidP="009D75B9">
      <w:pPr>
        <w:numPr>
          <w:ilvl w:val="2"/>
          <w:numId w:val="14"/>
        </w:numPr>
        <w:pBdr>
          <w:top w:val="nil"/>
          <w:left w:val="nil"/>
          <w:bottom w:val="nil"/>
          <w:right w:val="nil"/>
          <w:between w:val="nil"/>
        </w:pBdr>
        <w:tabs>
          <w:tab w:val="left" w:pos="1440"/>
        </w:tabs>
        <w:spacing w:before="120" w:line="276" w:lineRule="auto"/>
        <w:ind w:left="-142" w:firstLine="993"/>
        <w:jc w:val="both"/>
        <w:rPr>
          <w:rFonts w:cs="Arial"/>
          <w:color w:val="000000"/>
          <w:szCs w:val="20"/>
        </w:rPr>
      </w:pPr>
      <w:bookmarkStart w:id="4" w:name="_heading=h.tyjcwt" w:colFirst="0" w:colLast="0"/>
      <w:bookmarkEnd w:id="4"/>
      <w:r>
        <w:rPr>
          <w:rFonts w:eastAsia="Arial" w:cs="Arial"/>
          <w:color w:val="000000"/>
          <w:szCs w:val="20"/>
        </w:rPr>
        <w:t>certidão negativa de falência, recuperação judicial ou recuperação extrajudicial expedida pelo distribuidor da sede do licitante;</w:t>
      </w:r>
    </w:p>
    <w:p w:rsidR="00EF71EB" w:rsidRDefault="00EF71EB" w:rsidP="00EF71EB">
      <w:pPr>
        <w:pBdr>
          <w:top w:val="nil"/>
          <w:left w:val="nil"/>
          <w:bottom w:val="nil"/>
          <w:right w:val="nil"/>
          <w:between w:val="nil"/>
        </w:pBdr>
        <w:tabs>
          <w:tab w:val="left" w:pos="1440"/>
        </w:tabs>
        <w:spacing w:line="276" w:lineRule="auto"/>
        <w:ind w:left="1854"/>
        <w:jc w:val="both"/>
        <w:rPr>
          <w:rFonts w:cs="Arial"/>
          <w:color w:val="000000"/>
          <w:szCs w:val="20"/>
        </w:rPr>
      </w:pPr>
      <w:bookmarkStart w:id="5" w:name="_heading=h.3dy6vkm" w:colFirst="0" w:colLast="0"/>
      <w:bookmarkEnd w:id="5"/>
    </w:p>
    <w:p w:rsidR="00EF71EB" w:rsidRDefault="00EF71EB" w:rsidP="009D75B9">
      <w:pPr>
        <w:numPr>
          <w:ilvl w:val="3"/>
          <w:numId w:val="14"/>
        </w:numPr>
        <w:pBdr>
          <w:top w:val="nil"/>
          <w:left w:val="nil"/>
          <w:bottom w:val="nil"/>
          <w:right w:val="nil"/>
          <w:between w:val="nil"/>
        </w:pBdr>
        <w:tabs>
          <w:tab w:val="left" w:pos="1440"/>
        </w:tabs>
        <w:spacing w:after="120" w:line="276" w:lineRule="auto"/>
        <w:ind w:left="1854"/>
        <w:jc w:val="both"/>
        <w:rPr>
          <w:rFonts w:cs="Arial"/>
          <w:color w:val="000000"/>
          <w:szCs w:val="20"/>
        </w:rPr>
      </w:pPr>
      <w:r>
        <w:rPr>
          <w:rFonts w:eastAsia="Arial" w:cs="Arial"/>
          <w:color w:val="000000"/>
          <w:szCs w:val="20"/>
        </w:rPr>
        <w:t>No caso de certidão positiva de recuperação judicial ou extrajudicial, o licitante deverá apresentar a comprovação de que o respectivo plano de recuperação foi acolhido judicialmente, na forma do art. 58, da Lei n.º 11.101, de 09 de fevereiro de 2005, sob pena de inabilitação, devendo, ainda, comprovar todos os demais requisitos de habilitação.</w:t>
      </w:r>
    </w:p>
    <w:p w:rsidR="00EF71EB" w:rsidRDefault="00EF71EB" w:rsidP="009D75B9">
      <w:pPr>
        <w:numPr>
          <w:ilvl w:val="2"/>
          <w:numId w:val="14"/>
        </w:numPr>
        <w:tabs>
          <w:tab w:val="left" w:pos="1440"/>
        </w:tabs>
        <w:spacing w:before="120" w:after="120" w:line="276" w:lineRule="auto"/>
        <w:ind w:left="1134" w:firstLine="0"/>
        <w:jc w:val="both"/>
        <w:rPr>
          <w:color w:val="000000"/>
        </w:rPr>
      </w:pPr>
      <w:r>
        <w:rPr>
          <w:color w:val="000000"/>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EF71EB" w:rsidRDefault="00EF71EB" w:rsidP="009D75B9">
      <w:pPr>
        <w:numPr>
          <w:ilvl w:val="3"/>
          <w:numId w:val="14"/>
        </w:numPr>
        <w:spacing w:before="120" w:after="120" w:line="276" w:lineRule="auto"/>
        <w:ind w:left="1701" w:firstLine="0"/>
        <w:jc w:val="both"/>
        <w:rPr>
          <w:color w:val="000000"/>
        </w:rPr>
      </w:pPr>
      <w:r>
        <w:rPr>
          <w:color w:val="000000"/>
        </w:rPr>
        <w:t>no caso de empresa constituída no exercício social vigente, admite-se a apresentação de balanço patrimonial e demonstrações contábeis referentes ao período de existência da sociedade;</w:t>
      </w:r>
    </w:p>
    <w:p w:rsidR="00EF71EB" w:rsidRDefault="00EF71EB" w:rsidP="009D75B9">
      <w:pPr>
        <w:numPr>
          <w:ilvl w:val="3"/>
          <w:numId w:val="14"/>
        </w:numPr>
        <w:spacing w:before="120" w:after="120" w:line="276" w:lineRule="auto"/>
        <w:ind w:left="1701" w:firstLine="0"/>
        <w:jc w:val="both"/>
        <w:rPr>
          <w:color w:val="000000"/>
        </w:rPr>
      </w:pPr>
      <w:r>
        <w:rPr>
          <w:color w:val="000000"/>
        </w:rPr>
        <w:t>é admissível o balanço intermediário, se decorrer de lei ou contrato/estatuto social.</w:t>
      </w:r>
    </w:p>
    <w:p w:rsidR="00EF71EB" w:rsidRDefault="00EF71EB" w:rsidP="009D75B9">
      <w:pPr>
        <w:numPr>
          <w:ilvl w:val="2"/>
          <w:numId w:val="14"/>
        </w:numPr>
        <w:tabs>
          <w:tab w:val="left" w:pos="1440"/>
        </w:tabs>
        <w:spacing w:before="120" w:after="120" w:line="276" w:lineRule="auto"/>
        <w:ind w:left="1134" w:firstLine="0"/>
        <w:jc w:val="both"/>
        <w:rPr>
          <w:color w:val="000000"/>
        </w:rPr>
      </w:pPr>
      <w:r>
        <w:rPr>
          <w:color w:val="000000"/>
        </w:rPr>
        <w:t xml:space="preserve">comprovação da boa situação financeira da empresa mediante obtenção de índices de Liquidez Geral (LG), Solvência Geral (SG) e Liquidez Corrente (LC), superiores a 1 (um), </w:t>
      </w:r>
      <w:r>
        <w:t>obtidos pela</w:t>
      </w:r>
      <w:r>
        <w:rPr>
          <w:color w:val="000000"/>
        </w:rPr>
        <w:t xml:space="preserve"> aplicação das seguintes fórmulas:</w:t>
      </w:r>
    </w:p>
    <w:tbl>
      <w:tblPr>
        <w:tblW w:w="6487" w:type="dxa"/>
        <w:tblInd w:w="1134" w:type="dxa"/>
        <w:tblBorders>
          <w:top w:val="nil"/>
          <w:left w:val="nil"/>
          <w:bottom w:val="nil"/>
          <w:right w:val="nil"/>
          <w:insideH w:val="nil"/>
          <w:insideV w:val="nil"/>
        </w:tblBorders>
        <w:tblLayout w:type="fixed"/>
        <w:tblLook w:val="0400"/>
      </w:tblPr>
      <w:tblGrid>
        <w:gridCol w:w="2235"/>
        <w:gridCol w:w="4252"/>
      </w:tblGrid>
      <w:tr w:rsidR="00EF71EB" w:rsidTr="00A900CB">
        <w:tc>
          <w:tcPr>
            <w:tcW w:w="2235" w:type="dxa"/>
            <w:vMerge w:val="restart"/>
            <w:vAlign w:val="center"/>
          </w:tcPr>
          <w:p w:rsidR="00EF71EB" w:rsidRDefault="00EF71EB" w:rsidP="00A900CB">
            <w:pPr>
              <w:tabs>
                <w:tab w:val="left" w:pos="1440"/>
              </w:tabs>
              <w:spacing w:line="276" w:lineRule="auto"/>
              <w:jc w:val="both"/>
              <w:rPr>
                <w:color w:val="000000"/>
              </w:rPr>
            </w:pPr>
            <w:r>
              <w:rPr>
                <w:color w:val="000000"/>
              </w:rPr>
              <w:t>LG =</w:t>
            </w:r>
          </w:p>
        </w:tc>
        <w:tc>
          <w:tcPr>
            <w:tcW w:w="4252" w:type="dxa"/>
            <w:tcBorders>
              <w:bottom w:val="single" w:sz="4" w:space="0" w:color="000000"/>
            </w:tcBorders>
            <w:vAlign w:val="bottom"/>
          </w:tcPr>
          <w:p w:rsidR="00EF71EB" w:rsidRDefault="00EF71EB" w:rsidP="00A900CB">
            <w:pPr>
              <w:tabs>
                <w:tab w:val="left" w:pos="1440"/>
              </w:tabs>
              <w:spacing w:line="276" w:lineRule="auto"/>
              <w:jc w:val="both"/>
              <w:rPr>
                <w:color w:val="000000"/>
              </w:rPr>
            </w:pPr>
            <w:r>
              <w:rPr>
                <w:color w:val="000000"/>
              </w:rPr>
              <w:t>Ativo Circulante + Realizável a Longo Prazo</w:t>
            </w:r>
          </w:p>
        </w:tc>
      </w:tr>
      <w:tr w:rsidR="00EF71EB" w:rsidTr="00A900CB">
        <w:tc>
          <w:tcPr>
            <w:tcW w:w="2235" w:type="dxa"/>
            <w:vMerge/>
            <w:vAlign w:val="center"/>
          </w:tcPr>
          <w:p w:rsidR="00EF71EB" w:rsidRDefault="00EF71EB" w:rsidP="00A900CB">
            <w:pPr>
              <w:widowControl w:val="0"/>
              <w:pBdr>
                <w:top w:val="nil"/>
                <w:left w:val="nil"/>
                <w:bottom w:val="nil"/>
                <w:right w:val="nil"/>
                <w:between w:val="nil"/>
              </w:pBdr>
              <w:spacing w:line="276" w:lineRule="auto"/>
              <w:rPr>
                <w:color w:val="000000"/>
              </w:rPr>
            </w:pPr>
          </w:p>
        </w:tc>
        <w:tc>
          <w:tcPr>
            <w:tcW w:w="4252" w:type="dxa"/>
            <w:tcBorders>
              <w:top w:val="single" w:sz="4" w:space="0" w:color="000000"/>
            </w:tcBorders>
          </w:tcPr>
          <w:p w:rsidR="00EF71EB" w:rsidRDefault="00EF71EB" w:rsidP="00A900CB">
            <w:pPr>
              <w:tabs>
                <w:tab w:val="left" w:pos="1440"/>
              </w:tabs>
              <w:spacing w:line="276" w:lineRule="auto"/>
              <w:jc w:val="both"/>
              <w:rPr>
                <w:color w:val="000000"/>
              </w:rPr>
            </w:pPr>
            <w:r>
              <w:rPr>
                <w:color w:val="000000"/>
              </w:rPr>
              <w:t>Passivo Circulante + Passivo Não Circulante</w:t>
            </w:r>
          </w:p>
        </w:tc>
      </w:tr>
    </w:tbl>
    <w:p w:rsidR="00EF71EB" w:rsidRDefault="00EF71EB" w:rsidP="00EF71EB">
      <w:pPr>
        <w:tabs>
          <w:tab w:val="left" w:pos="1440"/>
        </w:tabs>
        <w:spacing w:line="276" w:lineRule="auto"/>
        <w:ind w:left="1134"/>
        <w:jc w:val="both"/>
        <w:rPr>
          <w:color w:val="000000"/>
        </w:rPr>
      </w:pPr>
    </w:p>
    <w:tbl>
      <w:tblPr>
        <w:tblW w:w="6629" w:type="dxa"/>
        <w:tblInd w:w="1134" w:type="dxa"/>
        <w:tblBorders>
          <w:top w:val="nil"/>
          <w:left w:val="nil"/>
          <w:bottom w:val="nil"/>
          <w:right w:val="nil"/>
          <w:insideH w:val="nil"/>
          <w:insideV w:val="nil"/>
        </w:tblBorders>
        <w:tblLayout w:type="fixed"/>
        <w:tblLook w:val="0400"/>
      </w:tblPr>
      <w:tblGrid>
        <w:gridCol w:w="2235"/>
        <w:gridCol w:w="4394"/>
      </w:tblGrid>
      <w:tr w:rsidR="00EF71EB" w:rsidTr="00A900CB">
        <w:tc>
          <w:tcPr>
            <w:tcW w:w="2235" w:type="dxa"/>
            <w:vMerge w:val="restart"/>
            <w:vAlign w:val="center"/>
          </w:tcPr>
          <w:p w:rsidR="00EF71EB" w:rsidRDefault="00EF71EB" w:rsidP="00A900CB">
            <w:pPr>
              <w:tabs>
                <w:tab w:val="left" w:pos="1440"/>
              </w:tabs>
              <w:spacing w:line="276" w:lineRule="auto"/>
              <w:jc w:val="both"/>
              <w:rPr>
                <w:color w:val="000000"/>
              </w:rPr>
            </w:pPr>
            <w:r>
              <w:rPr>
                <w:color w:val="000000"/>
              </w:rPr>
              <w:t>SG =</w:t>
            </w:r>
          </w:p>
        </w:tc>
        <w:tc>
          <w:tcPr>
            <w:tcW w:w="4394" w:type="dxa"/>
            <w:tcBorders>
              <w:bottom w:val="single" w:sz="4" w:space="0" w:color="000000"/>
            </w:tcBorders>
            <w:vAlign w:val="bottom"/>
          </w:tcPr>
          <w:p w:rsidR="00EF71EB" w:rsidRDefault="00EF71EB" w:rsidP="00A900CB">
            <w:pPr>
              <w:tabs>
                <w:tab w:val="left" w:pos="1440"/>
              </w:tabs>
              <w:spacing w:line="276" w:lineRule="auto"/>
              <w:jc w:val="both"/>
              <w:rPr>
                <w:color w:val="000000"/>
              </w:rPr>
            </w:pPr>
            <w:r>
              <w:rPr>
                <w:color w:val="000000"/>
              </w:rPr>
              <w:t>Ativo Total</w:t>
            </w:r>
          </w:p>
        </w:tc>
      </w:tr>
      <w:tr w:rsidR="00EF71EB" w:rsidTr="00A900CB">
        <w:tc>
          <w:tcPr>
            <w:tcW w:w="2235" w:type="dxa"/>
            <w:vMerge/>
            <w:vAlign w:val="center"/>
          </w:tcPr>
          <w:p w:rsidR="00EF71EB" w:rsidRDefault="00EF71EB" w:rsidP="00A900CB">
            <w:pPr>
              <w:widowControl w:val="0"/>
              <w:pBdr>
                <w:top w:val="nil"/>
                <w:left w:val="nil"/>
                <w:bottom w:val="nil"/>
                <w:right w:val="nil"/>
                <w:between w:val="nil"/>
              </w:pBdr>
              <w:spacing w:line="276" w:lineRule="auto"/>
              <w:rPr>
                <w:color w:val="000000"/>
              </w:rPr>
            </w:pPr>
          </w:p>
        </w:tc>
        <w:tc>
          <w:tcPr>
            <w:tcW w:w="4394" w:type="dxa"/>
            <w:tcBorders>
              <w:top w:val="single" w:sz="4" w:space="0" w:color="000000"/>
            </w:tcBorders>
          </w:tcPr>
          <w:p w:rsidR="00EF71EB" w:rsidRDefault="00EF71EB" w:rsidP="00A900CB">
            <w:pPr>
              <w:tabs>
                <w:tab w:val="left" w:pos="1440"/>
              </w:tabs>
              <w:spacing w:line="276" w:lineRule="auto"/>
              <w:jc w:val="both"/>
              <w:rPr>
                <w:color w:val="000000"/>
              </w:rPr>
            </w:pPr>
            <w:r>
              <w:rPr>
                <w:color w:val="000000"/>
              </w:rPr>
              <w:t>Passivo Circulante + Passivo Não Circulante</w:t>
            </w:r>
          </w:p>
        </w:tc>
      </w:tr>
    </w:tbl>
    <w:p w:rsidR="00EF71EB" w:rsidRDefault="00EF71EB" w:rsidP="00EF71EB">
      <w:pPr>
        <w:tabs>
          <w:tab w:val="left" w:pos="1440"/>
        </w:tabs>
        <w:spacing w:line="276" w:lineRule="auto"/>
        <w:ind w:left="1134"/>
        <w:jc w:val="both"/>
        <w:rPr>
          <w:color w:val="000000"/>
        </w:rPr>
      </w:pPr>
    </w:p>
    <w:tbl>
      <w:tblPr>
        <w:tblW w:w="4786" w:type="dxa"/>
        <w:tblInd w:w="1134" w:type="dxa"/>
        <w:tblBorders>
          <w:top w:val="nil"/>
          <w:left w:val="nil"/>
          <w:bottom w:val="nil"/>
          <w:right w:val="nil"/>
          <w:insideH w:val="nil"/>
          <w:insideV w:val="nil"/>
        </w:tblBorders>
        <w:tblLayout w:type="fixed"/>
        <w:tblLook w:val="0400"/>
      </w:tblPr>
      <w:tblGrid>
        <w:gridCol w:w="2235"/>
        <w:gridCol w:w="2551"/>
      </w:tblGrid>
      <w:tr w:rsidR="00EF71EB" w:rsidTr="00A900CB">
        <w:tc>
          <w:tcPr>
            <w:tcW w:w="2235" w:type="dxa"/>
            <w:vMerge w:val="restart"/>
            <w:vAlign w:val="center"/>
          </w:tcPr>
          <w:p w:rsidR="00EF71EB" w:rsidRDefault="00EF71EB" w:rsidP="00A900CB">
            <w:pPr>
              <w:tabs>
                <w:tab w:val="left" w:pos="1440"/>
              </w:tabs>
              <w:spacing w:line="276" w:lineRule="auto"/>
              <w:jc w:val="both"/>
              <w:rPr>
                <w:color w:val="000000"/>
              </w:rPr>
            </w:pPr>
            <w:r>
              <w:rPr>
                <w:color w:val="000000"/>
              </w:rPr>
              <w:t>LC =</w:t>
            </w:r>
          </w:p>
        </w:tc>
        <w:tc>
          <w:tcPr>
            <w:tcW w:w="2551" w:type="dxa"/>
            <w:tcBorders>
              <w:bottom w:val="single" w:sz="4" w:space="0" w:color="000000"/>
            </w:tcBorders>
            <w:vAlign w:val="bottom"/>
          </w:tcPr>
          <w:p w:rsidR="00EF71EB" w:rsidRDefault="00EF71EB" w:rsidP="00A900CB">
            <w:pPr>
              <w:tabs>
                <w:tab w:val="left" w:pos="1440"/>
              </w:tabs>
              <w:spacing w:line="276" w:lineRule="auto"/>
              <w:jc w:val="both"/>
              <w:rPr>
                <w:color w:val="000000"/>
              </w:rPr>
            </w:pPr>
            <w:r>
              <w:rPr>
                <w:color w:val="000000"/>
              </w:rPr>
              <w:t>Ativo Circulante</w:t>
            </w:r>
          </w:p>
        </w:tc>
      </w:tr>
      <w:tr w:rsidR="00EF71EB" w:rsidTr="00A900CB">
        <w:tc>
          <w:tcPr>
            <w:tcW w:w="2235" w:type="dxa"/>
            <w:vMerge/>
            <w:vAlign w:val="center"/>
          </w:tcPr>
          <w:p w:rsidR="00EF71EB" w:rsidRDefault="00EF71EB" w:rsidP="00A900CB">
            <w:pPr>
              <w:widowControl w:val="0"/>
              <w:pBdr>
                <w:top w:val="nil"/>
                <w:left w:val="nil"/>
                <w:bottom w:val="nil"/>
                <w:right w:val="nil"/>
                <w:between w:val="nil"/>
              </w:pBdr>
              <w:spacing w:line="276" w:lineRule="auto"/>
              <w:rPr>
                <w:color w:val="000000"/>
              </w:rPr>
            </w:pPr>
          </w:p>
        </w:tc>
        <w:tc>
          <w:tcPr>
            <w:tcW w:w="2551" w:type="dxa"/>
            <w:tcBorders>
              <w:top w:val="single" w:sz="4" w:space="0" w:color="000000"/>
            </w:tcBorders>
          </w:tcPr>
          <w:p w:rsidR="00EF71EB" w:rsidRDefault="00EF71EB" w:rsidP="00A900CB">
            <w:pPr>
              <w:tabs>
                <w:tab w:val="left" w:pos="1440"/>
              </w:tabs>
              <w:spacing w:line="276" w:lineRule="auto"/>
              <w:jc w:val="both"/>
              <w:rPr>
                <w:color w:val="000000"/>
              </w:rPr>
            </w:pPr>
            <w:r>
              <w:rPr>
                <w:color w:val="000000"/>
              </w:rPr>
              <w:t>Passivo Circulante</w:t>
            </w:r>
          </w:p>
        </w:tc>
      </w:tr>
    </w:tbl>
    <w:p w:rsidR="00EF71EB" w:rsidRDefault="00EF71EB" w:rsidP="009D75B9">
      <w:pPr>
        <w:numPr>
          <w:ilvl w:val="2"/>
          <w:numId w:val="14"/>
        </w:numPr>
        <w:tabs>
          <w:tab w:val="left" w:pos="1440"/>
        </w:tabs>
        <w:spacing w:before="120" w:after="120" w:line="276" w:lineRule="auto"/>
        <w:ind w:left="1134" w:firstLine="0"/>
        <w:jc w:val="both"/>
        <w:rPr>
          <w:color w:val="000000"/>
        </w:rPr>
      </w:pPr>
      <w:r>
        <w:rPr>
          <w:color w:val="000000"/>
        </w:rPr>
        <w:t xml:space="preserve">As </w:t>
      </w:r>
      <w:r>
        <w:t>empresas que</w:t>
      </w:r>
      <w:r>
        <w:rPr>
          <w:color w:val="000000"/>
        </w:rPr>
        <w:t xml:space="preserve"> apresentarem resultado inferior ou igual a 1(um) em qualquer dos índices de Liquidez Geral (LG), Solvência Geral (SG) e Liquidez Corrente (LC), deverão comprovar patrimônio líquido de </w:t>
      </w:r>
      <w:r>
        <w:rPr>
          <w:b/>
        </w:rPr>
        <w:t>10%(dez por cento)</w:t>
      </w:r>
      <w:r>
        <w:rPr>
          <w:color w:val="FF0000"/>
        </w:rPr>
        <w:t xml:space="preserve"> </w:t>
      </w:r>
      <w:r>
        <w:rPr>
          <w:color w:val="000000"/>
        </w:rPr>
        <w:t>do valor total estimado da contratação ou do item pertinente.</w:t>
      </w:r>
    </w:p>
    <w:p w:rsidR="00EF71EB" w:rsidRDefault="00EF71EB" w:rsidP="009D75B9">
      <w:pPr>
        <w:numPr>
          <w:ilvl w:val="2"/>
          <w:numId w:val="14"/>
        </w:numPr>
        <w:tabs>
          <w:tab w:val="left" w:pos="1440"/>
        </w:tabs>
        <w:spacing w:before="120" w:after="120" w:line="276" w:lineRule="auto"/>
        <w:ind w:left="1134" w:firstLine="0"/>
        <w:jc w:val="both"/>
        <w:rPr>
          <w:color w:val="000000"/>
        </w:rPr>
      </w:pPr>
      <w:r>
        <w:rPr>
          <w:color w:val="000000"/>
        </w:rPr>
        <w:t xml:space="preserve">As </w:t>
      </w:r>
      <w:r>
        <w:t>empresas deverão</w:t>
      </w:r>
      <w:r>
        <w:rPr>
          <w:color w:val="000000"/>
        </w:rPr>
        <w:t xml:space="preserve"> ainda complementar a comprovação da qualificação econômico-financeira por meio de: </w:t>
      </w:r>
    </w:p>
    <w:p w:rsidR="00EF71EB" w:rsidRDefault="00EF71EB" w:rsidP="009D75B9">
      <w:pPr>
        <w:numPr>
          <w:ilvl w:val="3"/>
          <w:numId w:val="14"/>
        </w:numPr>
        <w:pBdr>
          <w:top w:val="nil"/>
          <w:left w:val="nil"/>
          <w:bottom w:val="nil"/>
          <w:right w:val="nil"/>
          <w:between w:val="nil"/>
        </w:pBdr>
        <w:spacing w:before="120" w:after="120" w:line="276" w:lineRule="auto"/>
        <w:ind w:left="1701" w:firstLine="0"/>
        <w:jc w:val="both"/>
        <w:rPr>
          <w:rFonts w:cs="Arial"/>
          <w:color w:val="000000"/>
          <w:szCs w:val="20"/>
        </w:rPr>
      </w:pPr>
      <w:r>
        <w:rPr>
          <w:rFonts w:eastAsia="Arial" w:cs="Arial"/>
          <w:color w:val="000000"/>
          <w:szCs w:val="20"/>
        </w:rPr>
        <w:lastRenderedPageBreak/>
        <w:t xml:space="preserve">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já exigíveis na forma da lei; </w:t>
      </w:r>
    </w:p>
    <w:p w:rsidR="00EF71EB" w:rsidRDefault="00EF71EB" w:rsidP="009D75B9">
      <w:pPr>
        <w:numPr>
          <w:ilvl w:val="3"/>
          <w:numId w:val="14"/>
        </w:numPr>
        <w:spacing w:before="120" w:line="276" w:lineRule="auto"/>
        <w:ind w:left="1701" w:firstLine="0"/>
        <w:jc w:val="both"/>
      </w:pPr>
      <w:r>
        <w:t xml:space="preserve">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3 (três) meses da data da apresentação da proposta. </w:t>
      </w:r>
    </w:p>
    <w:p w:rsidR="00EF71EB" w:rsidRDefault="00EF71EB" w:rsidP="009D75B9">
      <w:pPr>
        <w:numPr>
          <w:ilvl w:val="3"/>
          <w:numId w:val="14"/>
        </w:numPr>
        <w:spacing w:line="276" w:lineRule="auto"/>
        <w:ind w:left="1701" w:firstLine="0"/>
        <w:jc w:val="both"/>
      </w:pPr>
      <w:r>
        <w:t xml:space="preserve">Comprovação, por meio de declaração, da relação de compromissos assumidos, conforme modelo constante do Anexo VII, de que 1/12 (um doze avos) do valor total dos contratos firmados com a Administração Pública e/ou com a iniciativa privada, vigentes na data da sessão pública de abertura deste Pregão, não é superior ao Patrimônio Líquido do licitante, podendo este ser atualizado na forma já disciplinada neste Edital; </w:t>
      </w:r>
    </w:p>
    <w:p w:rsidR="00EF71EB" w:rsidRDefault="00EF71EB" w:rsidP="009D75B9">
      <w:pPr>
        <w:numPr>
          <w:ilvl w:val="3"/>
          <w:numId w:val="14"/>
        </w:numPr>
        <w:spacing w:line="276" w:lineRule="auto"/>
        <w:ind w:left="1701" w:firstLine="0"/>
        <w:jc w:val="both"/>
      </w:pPr>
      <w:r>
        <w:t xml:space="preserve">a declaração de que trata a subcondição acima deverá estar acompanhada da Demonstração do Resultado do Exercício (DRE) relativa ao último exercício social, </w:t>
      </w:r>
    </w:p>
    <w:p w:rsidR="00EF71EB" w:rsidRDefault="00EF71EB" w:rsidP="009D75B9">
      <w:pPr>
        <w:numPr>
          <w:ilvl w:val="3"/>
          <w:numId w:val="14"/>
        </w:numPr>
        <w:spacing w:line="276" w:lineRule="auto"/>
        <w:ind w:left="1701" w:firstLine="0"/>
        <w:jc w:val="both"/>
      </w:pPr>
      <w:r>
        <w:t xml:space="preserve">quando houver divergência percentual superior a 10% (dez por cento), para mais ou para menos, entre a declaração aqui tratada e a receita bruta discriminada na Demonstração do Resultado do Exercício (DRE), deverão ser apresentadas, concomitantemente, as devidas justificativas. </w:t>
      </w:r>
    </w:p>
    <w:p w:rsidR="00EF71EB" w:rsidRDefault="00EF71EB" w:rsidP="00EF71EB">
      <w:pPr>
        <w:spacing w:line="276" w:lineRule="auto"/>
        <w:jc w:val="both"/>
      </w:pPr>
    </w:p>
    <w:p w:rsidR="00EF71EB" w:rsidRDefault="00EF71EB" w:rsidP="009D75B9">
      <w:pPr>
        <w:numPr>
          <w:ilvl w:val="1"/>
          <w:numId w:val="14"/>
        </w:numPr>
        <w:spacing w:before="120" w:after="120" w:line="276" w:lineRule="auto"/>
        <w:ind w:left="425" w:firstLine="0"/>
        <w:jc w:val="both"/>
        <w:rPr>
          <w:color w:val="000000"/>
        </w:rPr>
      </w:pPr>
      <w:r>
        <w:rPr>
          <w:b/>
          <w:color w:val="000000"/>
        </w:rPr>
        <w:t xml:space="preserve">Qualificação Técnica: </w:t>
      </w:r>
    </w:p>
    <w:p w:rsidR="00EF71EB" w:rsidRDefault="00EF71EB" w:rsidP="009D75B9">
      <w:pPr>
        <w:numPr>
          <w:ilvl w:val="2"/>
          <w:numId w:val="14"/>
        </w:numPr>
        <w:pBdr>
          <w:top w:val="nil"/>
          <w:left w:val="nil"/>
          <w:bottom w:val="nil"/>
          <w:right w:val="nil"/>
          <w:between w:val="nil"/>
        </w:pBdr>
        <w:spacing w:before="120" w:line="276" w:lineRule="auto"/>
        <w:jc w:val="both"/>
        <w:rPr>
          <w:rFonts w:cs="Arial"/>
          <w:color w:val="000000"/>
          <w:szCs w:val="20"/>
        </w:rPr>
      </w:pPr>
      <w:bookmarkStart w:id="6" w:name="_heading=h.1t3h5sf" w:colFirst="0" w:colLast="0"/>
      <w:bookmarkEnd w:id="6"/>
      <w:r>
        <w:rPr>
          <w:rFonts w:eastAsia="Arial" w:cs="Arial"/>
          <w:color w:val="000000"/>
          <w:szCs w:val="20"/>
        </w:rPr>
        <w:t>Comprovação de aptidão para a prestação dos serviços em características, quantidades e prazos compatíveis com o objeto desta licitação, ou com o item pertinente, mediante a apresentação de atestado(s) fornecido(s) por pessoas jurídicas de direito público ou privado.</w:t>
      </w:r>
    </w:p>
    <w:p w:rsidR="00EF71EB" w:rsidRDefault="00EF71EB" w:rsidP="009D75B9">
      <w:pPr>
        <w:numPr>
          <w:ilvl w:val="3"/>
          <w:numId w:val="14"/>
        </w:numPr>
        <w:pBdr>
          <w:top w:val="nil"/>
          <w:left w:val="nil"/>
          <w:bottom w:val="nil"/>
          <w:right w:val="nil"/>
          <w:between w:val="nil"/>
        </w:pBdr>
        <w:spacing w:line="276" w:lineRule="auto"/>
        <w:jc w:val="both"/>
        <w:rPr>
          <w:rFonts w:cs="Arial"/>
          <w:color w:val="000000"/>
          <w:szCs w:val="20"/>
        </w:rPr>
      </w:pPr>
      <w:r>
        <w:rPr>
          <w:rFonts w:eastAsia="Arial" w:cs="Arial"/>
          <w:color w:val="000000"/>
          <w:szCs w:val="20"/>
        </w:rPr>
        <w:t>Para fins da comprovação de que trata este subitem, os atestados deverão dizer respeito a serviços executados com as seguintes características mínimas:</w:t>
      </w:r>
    </w:p>
    <w:p w:rsidR="00EF71EB" w:rsidRDefault="00EF71EB" w:rsidP="009D75B9">
      <w:pPr>
        <w:numPr>
          <w:ilvl w:val="4"/>
          <w:numId w:val="14"/>
        </w:numPr>
        <w:pBdr>
          <w:top w:val="nil"/>
          <w:left w:val="nil"/>
          <w:bottom w:val="nil"/>
          <w:right w:val="nil"/>
          <w:between w:val="nil"/>
        </w:pBdr>
        <w:spacing w:line="276" w:lineRule="auto"/>
        <w:jc w:val="both"/>
        <w:rPr>
          <w:rFonts w:cs="Arial"/>
          <w:szCs w:val="20"/>
        </w:rPr>
      </w:pPr>
      <w:r>
        <w:t>CNPJ, nome comercial, endereço e telefone da(s) sociedade(s) atestante(s);</w:t>
      </w:r>
    </w:p>
    <w:p w:rsidR="00EF71EB" w:rsidRDefault="00EF71EB" w:rsidP="009D75B9">
      <w:pPr>
        <w:numPr>
          <w:ilvl w:val="4"/>
          <w:numId w:val="14"/>
        </w:numPr>
        <w:spacing w:before="120" w:after="120" w:line="276" w:lineRule="auto"/>
        <w:jc w:val="both"/>
      </w:pPr>
      <w:r>
        <w:t>nome, cargo/função, endereço, telefone e e-mail do(s) representante(s) da(s) sociedade(s) atestante(s) que vier(em) a assinar o(s) atestado(s), a fim de que o IFPB possa com ele(s) manter contato;</w:t>
      </w:r>
    </w:p>
    <w:p w:rsidR="00EF71EB" w:rsidRDefault="00EF71EB" w:rsidP="009D75B9">
      <w:pPr>
        <w:numPr>
          <w:ilvl w:val="4"/>
          <w:numId w:val="14"/>
        </w:numPr>
        <w:spacing w:before="120" w:after="120" w:line="276" w:lineRule="auto"/>
        <w:jc w:val="both"/>
      </w:pPr>
      <w:r>
        <w:t>CNPJ e nome da sociedade contratada pela(s) sociedade(s) atestante(s) para a execução do objeto atestado;</w:t>
      </w:r>
    </w:p>
    <w:p w:rsidR="00EF71EB" w:rsidRDefault="00EF71EB" w:rsidP="009D75B9">
      <w:pPr>
        <w:numPr>
          <w:ilvl w:val="4"/>
          <w:numId w:val="14"/>
        </w:numPr>
        <w:spacing w:before="120" w:after="120" w:line="276" w:lineRule="auto"/>
        <w:jc w:val="both"/>
      </w:pPr>
      <w:r>
        <w:lastRenderedPageBreak/>
        <w:t>descrição do objeto atestado, contendo dados que permitam a aferição de sua similaridade com o objeto licitado, nos termos da alínea “a” deste inciso;</w:t>
      </w:r>
    </w:p>
    <w:p w:rsidR="00EF71EB" w:rsidRDefault="00EF71EB" w:rsidP="009D75B9">
      <w:pPr>
        <w:numPr>
          <w:ilvl w:val="4"/>
          <w:numId w:val="14"/>
        </w:numPr>
        <w:spacing w:before="120" w:after="120" w:line="276" w:lineRule="auto"/>
        <w:jc w:val="both"/>
      </w:pPr>
      <w:r>
        <w:t>data da emissão do(s) atestado(s); e</w:t>
      </w:r>
    </w:p>
    <w:p w:rsidR="00EF71EB" w:rsidRDefault="00EF71EB" w:rsidP="009D75B9">
      <w:pPr>
        <w:numPr>
          <w:ilvl w:val="4"/>
          <w:numId w:val="14"/>
        </w:numPr>
        <w:spacing w:before="120" w:after="120" w:line="276" w:lineRule="auto"/>
        <w:jc w:val="both"/>
      </w:pPr>
      <w:r>
        <w:t>assinatura do(s) representante(s) da(s) sociedade(s) atestante(s).</w:t>
      </w:r>
    </w:p>
    <w:p w:rsidR="00EF71EB" w:rsidRDefault="00EF71EB" w:rsidP="009D75B9">
      <w:pPr>
        <w:numPr>
          <w:ilvl w:val="4"/>
          <w:numId w:val="14"/>
        </w:numPr>
        <w:spacing w:before="120" w:after="120" w:line="276" w:lineRule="auto"/>
        <w:jc w:val="both"/>
      </w:pPr>
      <w:r>
        <w:t>assinatura do(s) representante(s) da(s) sociedade(s) atestante(s).</w:t>
      </w:r>
    </w:p>
    <w:p w:rsidR="00EF71EB" w:rsidRDefault="00EF71EB" w:rsidP="009D75B9">
      <w:pPr>
        <w:numPr>
          <w:ilvl w:val="3"/>
          <w:numId w:val="14"/>
        </w:numPr>
        <w:pBdr>
          <w:top w:val="nil"/>
          <w:left w:val="nil"/>
          <w:bottom w:val="nil"/>
          <w:right w:val="nil"/>
          <w:between w:val="nil"/>
        </w:pBdr>
        <w:spacing w:before="120" w:after="120" w:line="276" w:lineRule="auto"/>
        <w:ind w:left="1701" w:firstLine="0"/>
        <w:jc w:val="both"/>
        <w:rPr>
          <w:rFonts w:cs="Arial"/>
          <w:color w:val="000000"/>
          <w:szCs w:val="20"/>
        </w:rPr>
      </w:pPr>
      <w:bookmarkStart w:id="7" w:name="_heading=h.4d34og8" w:colFirst="0" w:colLast="0"/>
      <w:bookmarkEnd w:id="7"/>
      <w:r>
        <w:rPr>
          <w:rFonts w:eastAsia="Arial" w:cs="Arial"/>
          <w:color w:val="000000"/>
          <w:szCs w:val="20"/>
        </w:rPr>
        <w:t xml:space="preserve">Os atestados deverão referir-se a serviços prestados no âmbito de sua atividade econômica principal ou secundária especificadas no contrato social vigente; </w:t>
      </w:r>
    </w:p>
    <w:p w:rsidR="00EF71EB" w:rsidRDefault="00EF71EB" w:rsidP="009D75B9">
      <w:pPr>
        <w:numPr>
          <w:ilvl w:val="3"/>
          <w:numId w:val="14"/>
        </w:numPr>
        <w:spacing w:before="120" w:after="120" w:line="276" w:lineRule="auto"/>
        <w:ind w:left="1701" w:firstLine="0"/>
        <w:jc w:val="both"/>
        <w:rPr>
          <w:color w:val="000000"/>
        </w:rPr>
      </w:pPr>
      <w:r>
        <w:rPr>
          <w:color w:val="000000"/>
        </w:rPr>
        <w:t xml:space="preserve">Somente serão aceitos atestados expedidos após a conclusão do contrato ou se decorrido, pelo menos, um ano do início de sua execução, exceto se firmado para ser executado em prazo inferior, conforme item 10.8 do Anexo VII-A da IN SEGES/MP n. 5, de 2017. </w:t>
      </w:r>
    </w:p>
    <w:p w:rsidR="00EF71EB" w:rsidRDefault="00EF71EB" w:rsidP="009D75B9">
      <w:pPr>
        <w:numPr>
          <w:ilvl w:val="3"/>
          <w:numId w:val="14"/>
        </w:numPr>
        <w:spacing w:before="120" w:after="120" w:line="276" w:lineRule="auto"/>
        <w:ind w:left="1701" w:firstLine="0"/>
        <w:jc w:val="both"/>
        <w:rPr>
          <w:color w:val="000000"/>
        </w:rPr>
      </w:pPr>
      <w:bookmarkStart w:id="8" w:name="_heading=h.2s8eyo1" w:colFirst="0" w:colLast="0"/>
      <w:bookmarkEnd w:id="8"/>
      <w:r>
        <w:rPr>
          <w:color w:val="000000"/>
        </w:rPr>
        <w:t>Poderá ser admitida, para fins de comprovação de quantitativo mínimo do serviço, a apresentação de diferentes atestados de serviços executados de forma concomitante, pois essa situação se equivale, para fins de comprovação de capacidade técnico-operacional, a uma única contratação, nos termos do item 10.9 do Anexo VII-A da IN SEGES/MP n. 5/2017.</w:t>
      </w:r>
    </w:p>
    <w:p w:rsidR="00EF71EB" w:rsidRDefault="00EF71EB" w:rsidP="009D75B9">
      <w:pPr>
        <w:numPr>
          <w:ilvl w:val="3"/>
          <w:numId w:val="14"/>
        </w:numPr>
        <w:spacing w:before="120" w:after="120" w:line="276" w:lineRule="auto"/>
        <w:ind w:left="1701" w:firstLine="0"/>
        <w:jc w:val="both"/>
      </w:pPr>
      <w:r>
        <w:t>Deverá haver a comprovação da experiência mínima de 3 (três) anos na prestação dos serviços, sendo aceito o somatório de atestados de períodos diferentes, não havendo obrigatoriedade de os 3 (três) anos serem ininterruptos, conforme item 10.7.1 do Anexo VII-A da IN SEGES/MPDG n. 5/2017.</w:t>
      </w:r>
      <w:r>
        <w:tab/>
      </w:r>
    </w:p>
    <w:p w:rsidR="00EF71EB" w:rsidRDefault="00EF71EB" w:rsidP="009D75B9">
      <w:pPr>
        <w:numPr>
          <w:ilvl w:val="3"/>
          <w:numId w:val="14"/>
        </w:numPr>
        <w:spacing w:before="120" w:after="120" w:line="276" w:lineRule="auto"/>
        <w:ind w:left="1701" w:firstLine="0"/>
        <w:jc w:val="both"/>
        <w:rPr>
          <w:color w:val="000000"/>
        </w:rPr>
      </w:pPr>
      <w:r>
        <w:rPr>
          <w:color w:val="000000"/>
        </w:rP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 consoante o disposto no item 10.10 do Anexo VII-A da IN SEGES/MP n. 5/2017.</w:t>
      </w:r>
    </w:p>
    <w:p w:rsidR="00EF71EB" w:rsidRDefault="00EF71EB" w:rsidP="009D75B9">
      <w:pPr>
        <w:numPr>
          <w:ilvl w:val="3"/>
          <w:numId w:val="14"/>
        </w:numPr>
        <w:tabs>
          <w:tab w:val="left" w:pos="1440"/>
        </w:tabs>
        <w:spacing w:before="120" w:after="120" w:line="276" w:lineRule="auto"/>
        <w:jc w:val="both"/>
      </w:pPr>
      <w:r>
        <w:t xml:space="preserve">Na contratação de serviços continuados com mais de 40 (quarenta) postos, o licitante deverá comprovar que tenha executado contrato com um mínimo de 50% (cinquenta por cento) do número de postos de trabalho a serem contratados. </w:t>
      </w:r>
    </w:p>
    <w:p w:rsidR="00EF71EB" w:rsidRDefault="00EF71EB" w:rsidP="009D75B9">
      <w:pPr>
        <w:numPr>
          <w:ilvl w:val="3"/>
          <w:numId w:val="14"/>
        </w:numPr>
        <w:tabs>
          <w:tab w:val="left" w:pos="1440"/>
        </w:tabs>
        <w:spacing w:before="120" w:after="120" w:line="276" w:lineRule="auto"/>
        <w:jc w:val="both"/>
      </w:pPr>
      <w:r>
        <w:t>Quando o número de postos de trabalho a ser contratado for igual ou inferior a 40 (quarenta), o licitante deverá comprovar que tenha executado contrato(s) em número de postos equivalentes ao da contratação, conforme exigido na alínea c2 do item 10.6 do Anexo VII-A da IN SEGES/MP n. 5/2017.</w:t>
      </w:r>
    </w:p>
    <w:p w:rsidR="00EF71EB" w:rsidRDefault="00EF71EB" w:rsidP="009D75B9">
      <w:pPr>
        <w:numPr>
          <w:ilvl w:val="3"/>
          <w:numId w:val="14"/>
        </w:numPr>
        <w:tabs>
          <w:tab w:val="left" w:pos="1440"/>
        </w:tabs>
        <w:spacing w:before="120" w:after="120" w:line="276" w:lineRule="auto"/>
        <w:jc w:val="both"/>
      </w:pPr>
      <w:r>
        <w:t xml:space="preserve">Para a comprovação do número mínimo de postos exigido, será aceito o somatório de atestados que comprovem que o licitante gerencia </w:t>
      </w:r>
      <w:r>
        <w:lastRenderedPageBreak/>
        <w:t>ou gerenciou serviços de terceirização compatíveis com o objeto licitado, nos termos do item 10.7 do Anexo VII-A da IN SEGES/MP n. 5/2017.</w:t>
      </w:r>
    </w:p>
    <w:p w:rsidR="00EF71EB" w:rsidRDefault="00EF71EB" w:rsidP="009D75B9">
      <w:pPr>
        <w:numPr>
          <w:ilvl w:val="2"/>
          <w:numId w:val="14"/>
        </w:numPr>
        <w:tabs>
          <w:tab w:val="left" w:pos="1440"/>
        </w:tabs>
        <w:spacing w:before="120" w:after="120" w:line="276" w:lineRule="auto"/>
        <w:ind w:left="1134" w:firstLine="0"/>
        <w:jc w:val="both"/>
      </w:pPr>
      <w:bookmarkStart w:id="9" w:name="_heading=h.17dp8vu" w:colFirst="0" w:colLast="0"/>
      <w:bookmarkEnd w:id="9"/>
      <w:r>
        <w:t>As empresas deverão apresentar atestado de vistoria assinado pelo servidor responsável, caso exigida no Termo de Referência.</w:t>
      </w:r>
    </w:p>
    <w:p w:rsidR="00EF71EB" w:rsidRDefault="00EF71EB" w:rsidP="009D75B9">
      <w:pPr>
        <w:numPr>
          <w:ilvl w:val="3"/>
          <w:numId w:val="14"/>
        </w:numPr>
        <w:pBdr>
          <w:top w:val="nil"/>
          <w:left w:val="nil"/>
          <w:bottom w:val="nil"/>
          <w:right w:val="nil"/>
          <w:between w:val="nil"/>
        </w:pBdr>
        <w:spacing w:before="120" w:after="120" w:line="276" w:lineRule="auto"/>
        <w:jc w:val="both"/>
        <w:rPr>
          <w:rFonts w:cs="Arial"/>
          <w:color w:val="000000"/>
          <w:szCs w:val="20"/>
        </w:rPr>
      </w:pPr>
      <w:r>
        <w:rPr>
          <w:rFonts w:eastAsia="Arial" w:cs="Arial"/>
          <w:color w:val="000000"/>
          <w:szCs w:val="20"/>
        </w:rPr>
        <w:t>O atestado de vistoria poderá ser substituído por declaração emitida pelo licitante em que conste, alternativamente, que conhece as condições locais para execução do objeto</w:t>
      </w:r>
      <w:r>
        <w:rPr>
          <w:rFonts w:eastAsia="Arial" w:cs="Arial"/>
          <w:strike/>
          <w:color w:val="000000"/>
          <w:szCs w:val="20"/>
        </w:rPr>
        <w:t>,</w:t>
      </w:r>
      <w:r>
        <w:rPr>
          <w:rFonts w:eastAsia="Arial" w:cs="Arial"/>
          <w:color w:val="000000"/>
          <w:szCs w:val="20"/>
        </w:rPr>
        <w:t xml:space="preserve"> ou que tem pleno conhecimento das condições e peculiaridades inerentes à natureza do trabalho, assumindo total responsabilidade por este fato e que não utilizará deste para quaisquer questionamentos futuros que ensejem desavenças técnicas ou financeiras com a contratante.</w:t>
      </w:r>
    </w:p>
    <w:p w:rsidR="00EF71EB" w:rsidRDefault="00EF71EB" w:rsidP="009D75B9">
      <w:pPr>
        <w:numPr>
          <w:ilvl w:val="1"/>
          <w:numId w:val="14"/>
        </w:numPr>
        <w:spacing w:before="120" w:after="120" w:line="276" w:lineRule="auto"/>
        <w:jc w:val="both"/>
      </w:pPr>
      <w: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EF71EB" w:rsidRDefault="00EF71EB" w:rsidP="009D75B9">
      <w:pPr>
        <w:numPr>
          <w:ilvl w:val="1"/>
          <w:numId w:val="14"/>
        </w:numPr>
        <w:spacing w:before="120" w:after="120" w:line="276" w:lineRule="auto"/>
        <w:jc w:val="both"/>
        <w:rPr>
          <w:color w:val="000000"/>
        </w:rPr>
      </w:pPr>
      <w:r>
        <w:rPr>
          <w:color w:val="000000"/>
        </w:rPr>
        <w:t>A existência de restrição relativamente à regularidade fiscal e trabalhista não impede que a licitante qualificada como microempresa ou empresa de pequeno porte seja declarada vencedora, uma vez que atenda a todas as demais exigências do edital.</w:t>
      </w:r>
    </w:p>
    <w:p w:rsidR="00EF71EB" w:rsidRDefault="00EF71EB" w:rsidP="009D75B9">
      <w:pPr>
        <w:numPr>
          <w:ilvl w:val="2"/>
          <w:numId w:val="14"/>
        </w:numPr>
        <w:spacing w:before="120" w:after="120" w:line="276" w:lineRule="auto"/>
        <w:jc w:val="both"/>
        <w:rPr>
          <w:color w:val="000000"/>
        </w:rPr>
      </w:pPr>
      <w:r>
        <w:rPr>
          <w:color w:val="000000"/>
        </w:rPr>
        <w:t>A declaração do vencedor acontecerá no momento imediatamente posterior à fase de habilitação.</w:t>
      </w:r>
    </w:p>
    <w:p w:rsidR="00EF71EB" w:rsidRDefault="00EF71EB" w:rsidP="009D75B9">
      <w:pPr>
        <w:numPr>
          <w:ilvl w:val="1"/>
          <w:numId w:val="14"/>
        </w:numPr>
        <w:spacing w:before="120" w:after="120" w:line="276" w:lineRule="auto"/>
        <w:jc w:val="both"/>
        <w:rPr>
          <w:color w:val="000000"/>
        </w:rPr>
      </w:pPr>
      <w:r>
        <w:rPr>
          <w:color w:val="000000"/>
        </w:rPr>
        <w:t>Caso a proposta mais vantajosa seja ofertada por microempresa, empresa de pequeno porte ou sociedade cooperativa equiparada, e uma vez constatada a existência de alguma restrição 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EF71EB" w:rsidRDefault="00EF71EB" w:rsidP="009D75B9">
      <w:pPr>
        <w:numPr>
          <w:ilvl w:val="1"/>
          <w:numId w:val="14"/>
        </w:numPr>
        <w:spacing w:before="120" w:after="120" w:line="276" w:lineRule="auto"/>
        <w:jc w:val="both"/>
        <w:rPr>
          <w:color w:val="000000"/>
        </w:rPr>
      </w:pPr>
      <w:r>
        <w:rPr>
          <w:color w:val="000000"/>
        </w:rPr>
        <w:t xml:space="preserve">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 </w:t>
      </w:r>
    </w:p>
    <w:p w:rsidR="00EF71EB" w:rsidRDefault="00EF71EB" w:rsidP="009D75B9">
      <w:pPr>
        <w:numPr>
          <w:ilvl w:val="1"/>
          <w:numId w:val="14"/>
        </w:numPr>
        <w:spacing w:before="120" w:after="120" w:line="276" w:lineRule="auto"/>
        <w:jc w:val="both"/>
        <w:rPr>
          <w:color w:val="000000"/>
        </w:rPr>
      </w:pPr>
      <w:r>
        <w:rPr>
          <w:color w:val="000000"/>
        </w:rPr>
        <w:t>Havendo necessidade de analisar minuciosamente os documentos exigidos, o Pregoeiro suspenderá a sessão, informando no “chat” a nova data e horário para a continuidade da mesma.</w:t>
      </w:r>
    </w:p>
    <w:p w:rsidR="00EF71EB" w:rsidRDefault="00EF71EB" w:rsidP="009D75B9">
      <w:pPr>
        <w:numPr>
          <w:ilvl w:val="1"/>
          <w:numId w:val="14"/>
        </w:numPr>
        <w:spacing w:before="120" w:after="120" w:line="276" w:lineRule="auto"/>
        <w:jc w:val="both"/>
        <w:rPr>
          <w:color w:val="000000"/>
        </w:rPr>
      </w:pPr>
      <w:r>
        <w:rPr>
          <w:color w:val="000000"/>
        </w:rPr>
        <w:t>Será inabilitado o licitante que não comprovar sua habilitação, seja por não apresentar quaisquer dos documentos exigidos, ou apresentá-los em desacordo com o estabelecido neste Edital.</w:t>
      </w:r>
    </w:p>
    <w:p w:rsidR="00EF71EB" w:rsidRDefault="00EF71EB" w:rsidP="009D75B9">
      <w:pPr>
        <w:numPr>
          <w:ilvl w:val="1"/>
          <w:numId w:val="14"/>
        </w:numPr>
        <w:spacing w:before="120" w:after="120" w:line="276" w:lineRule="auto"/>
        <w:jc w:val="both"/>
        <w:rPr>
          <w:color w:val="000000"/>
        </w:rPr>
      </w:pPr>
      <w:r>
        <w:rPr>
          <w:color w:val="000000"/>
        </w:rPr>
        <w:t xml:space="preserve">Nos itens não exclusivos a microempresas e empresas de pequeno porte, em havendo inabilitação, haverá nova verificação, pelo sistema, da eventual ocorrência do </w:t>
      </w:r>
      <w:r>
        <w:rPr>
          <w:color w:val="000000"/>
        </w:rPr>
        <w:lastRenderedPageBreak/>
        <w:t>empate ficto, previsto nos artigos 44 e 45 da LC nº 123, de 2006, seguindo-se a disciplina antes estabelecida para aceitação da proposta subsequente.</w:t>
      </w:r>
    </w:p>
    <w:p w:rsidR="00EF71EB" w:rsidRDefault="00EF71EB" w:rsidP="009D75B9">
      <w:pPr>
        <w:numPr>
          <w:ilvl w:val="1"/>
          <w:numId w:val="14"/>
        </w:numPr>
        <w:spacing w:before="120" w:after="120" w:line="276" w:lineRule="auto"/>
        <w:jc w:val="both"/>
        <w:rPr>
          <w:color w:val="000000"/>
        </w:rPr>
      </w:pPr>
      <w:r>
        <w:rPr>
          <w:color w:val="000000"/>
        </w:rPr>
        <w:t>Constatado o atendimento às exigências de habilitação fixadas no Edital, o licitante será declarado vencedor.</w:t>
      </w:r>
    </w:p>
    <w:p w:rsidR="00EF71EB" w:rsidRDefault="00EF71EB" w:rsidP="009D75B9">
      <w:pPr>
        <w:keepNext/>
        <w:keepLines/>
        <w:numPr>
          <w:ilvl w:val="0"/>
          <w:numId w:val="3"/>
        </w:numPr>
        <w:pBdr>
          <w:top w:val="nil"/>
          <w:left w:val="nil"/>
          <w:bottom w:val="nil"/>
          <w:right w:val="nil"/>
          <w:between w:val="nil"/>
        </w:pBdr>
        <w:spacing w:before="480" w:after="120" w:line="276" w:lineRule="auto"/>
        <w:ind w:right="-15"/>
        <w:jc w:val="both"/>
        <w:rPr>
          <w:rFonts w:cs="Arial"/>
          <w:b/>
          <w:color w:val="000000"/>
          <w:szCs w:val="20"/>
        </w:rPr>
      </w:pPr>
      <w:r>
        <w:rPr>
          <w:rFonts w:eastAsia="Arial" w:cs="Arial"/>
          <w:b/>
          <w:color w:val="000000"/>
          <w:szCs w:val="20"/>
        </w:rPr>
        <w:t>DO ENCAMINHAMENTO DA PROPOSTA VENCEDORA</w:t>
      </w:r>
    </w:p>
    <w:p w:rsidR="00EF71EB" w:rsidRDefault="00EF71EB" w:rsidP="009D75B9">
      <w:pPr>
        <w:numPr>
          <w:ilvl w:val="1"/>
          <w:numId w:val="3"/>
        </w:numPr>
        <w:spacing w:before="120" w:after="120" w:line="276" w:lineRule="auto"/>
        <w:ind w:left="425" w:firstLine="0"/>
        <w:jc w:val="both"/>
      </w:pPr>
      <w:r>
        <w:t>A proposta final do licitante declarado vencedor deverá ser encaminhada no prazo de 02 (duas) horas</w:t>
      </w:r>
      <w:r>
        <w:rPr>
          <w:b/>
        </w:rPr>
        <w:t xml:space="preserve">, </w:t>
      </w:r>
      <w:r>
        <w:t>a contar da solicitação do Pregoeiro no sistema eletrônico e deverá:</w:t>
      </w:r>
    </w:p>
    <w:p w:rsidR="00EF71EB" w:rsidRDefault="00EF71EB" w:rsidP="009D75B9">
      <w:pPr>
        <w:numPr>
          <w:ilvl w:val="2"/>
          <w:numId w:val="3"/>
        </w:numPr>
        <w:pBdr>
          <w:top w:val="nil"/>
          <w:left w:val="nil"/>
          <w:bottom w:val="nil"/>
          <w:right w:val="nil"/>
          <w:between w:val="nil"/>
        </w:pBdr>
        <w:spacing w:before="120" w:line="276" w:lineRule="auto"/>
        <w:ind w:left="1134" w:firstLine="0"/>
        <w:jc w:val="both"/>
        <w:rPr>
          <w:rFonts w:cs="Arial"/>
          <w:color w:val="000000"/>
          <w:szCs w:val="20"/>
        </w:rPr>
      </w:pPr>
      <w:r>
        <w:rPr>
          <w:rFonts w:eastAsia="Arial" w:cs="Arial"/>
          <w:color w:val="000000"/>
          <w:szCs w:val="20"/>
        </w:rPr>
        <w:t>ser redigida em língua portuguesa, datilografada ou digitada, em uma via, sem emendas, rasuras, entrelinhas ou ressalvas, devendo a última folha ser assinada e as demais rubricadas pelo licitante ou seu representante legal.</w:t>
      </w:r>
    </w:p>
    <w:p w:rsidR="00EF71EB" w:rsidRDefault="00EF71EB" w:rsidP="009D75B9">
      <w:pPr>
        <w:numPr>
          <w:ilvl w:val="2"/>
          <w:numId w:val="3"/>
        </w:numPr>
        <w:pBdr>
          <w:top w:val="nil"/>
          <w:left w:val="nil"/>
          <w:bottom w:val="nil"/>
          <w:right w:val="nil"/>
          <w:between w:val="nil"/>
        </w:pBdr>
        <w:spacing w:line="276" w:lineRule="auto"/>
        <w:ind w:left="1134" w:firstLine="0"/>
        <w:jc w:val="both"/>
        <w:rPr>
          <w:rFonts w:cs="Arial"/>
          <w:color w:val="000000"/>
          <w:szCs w:val="20"/>
        </w:rPr>
      </w:pPr>
      <w:r>
        <w:rPr>
          <w:rFonts w:eastAsia="Arial" w:cs="Arial"/>
          <w:color w:val="000000"/>
          <w:szCs w:val="20"/>
        </w:rPr>
        <w:t>apresentar a planilha de custos e formação de preços, devidamente ajustada ao lance vencedor, em conformidade com o modelo anexo a este instrumento convocatório.</w:t>
      </w:r>
    </w:p>
    <w:p w:rsidR="00EF71EB" w:rsidRDefault="00EF71EB" w:rsidP="009D75B9">
      <w:pPr>
        <w:numPr>
          <w:ilvl w:val="2"/>
          <w:numId w:val="3"/>
        </w:numPr>
        <w:pBdr>
          <w:top w:val="nil"/>
          <w:left w:val="nil"/>
          <w:bottom w:val="nil"/>
          <w:right w:val="nil"/>
          <w:between w:val="nil"/>
        </w:pBdr>
        <w:spacing w:after="120" w:line="276" w:lineRule="auto"/>
        <w:ind w:left="1134" w:firstLine="0"/>
        <w:jc w:val="both"/>
        <w:rPr>
          <w:rFonts w:cs="Arial"/>
          <w:color w:val="000000"/>
          <w:szCs w:val="20"/>
        </w:rPr>
      </w:pPr>
      <w:r>
        <w:rPr>
          <w:rFonts w:eastAsia="Arial" w:cs="Arial"/>
          <w:color w:val="000000"/>
          <w:szCs w:val="20"/>
        </w:rPr>
        <w:t xml:space="preserve">conter a indicação do banco, número da conta e agência do </w:t>
      </w:r>
      <w:r>
        <w:t>licitante vencedor,</w:t>
      </w:r>
      <w:r>
        <w:rPr>
          <w:rFonts w:eastAsia="Arial" w:cs="Arial"/>
          <w:color w:val="000000"/>
          <w:szCs w:val="20"/>
        </w:rPr>
        <w:t xml:space="preserve"> para fins de pagamento.</w:t>
      </w:r>
    </w:p>
    <w:p w:rsidR="00EF71EB" w:rsidRDefault="00EF71EB" w:rsidP="009D75B9">
      <w:pPr>
        <w:numPr>
          <w:ilvl w:val="1"/>
          <w:numId w:val="3"/>
        </w:numPr>
        <w:spacing w:before="120" w:after="120" w:line="276" w:lineRule="auto"/>
        <w:ind w:left="425" w:firstLine="0"/>
        <w:jc w:val="both"/>
      </w:pPr>
      <w:r>
        <w:t>A proposta final deverá ser documentada nos autos e será levada em consideração no decorrer da execução do contrato e aplicação de eventual sanção à Contratada, se for o caso.</w:t>
      </w:r>
    </w:p>
    <w:p w:rsidR="00EF71EB" w:rsidRDefault="00EF71EB" w:rsidP="009D75B9">
      <w:pPr>
        <w:numPr>
          <w:ilvl w:val="2"/>
          <w:numId w:val="3"/>
        </w:numPr>
        <w:spacing w:before="120" w:after="120" w:line="276" w:lineRule="auto"/>
        <w:ind w:left="1134" w:firstLine="0"/>
        <w:jc w:val="both"/>
      </w:pPr>
      <w:r>
        <w:t>Todas as especificações do objeto contidas na proposta vinculam a Contratada.</w:t>
      </w:r>
    </w:p>
    <w:p w:rsidR="00EF71EB" w:rsidRDefault="00EF71EB" w:rsidP="009D75B9">
      <w:pPr>
        <w:numPr>
          <w:ilvl w:val="1"/>
          <w:numId w:val="3"/>
        </w:numPr>
        <w:spacing w:before="120" w:after="120" w:line="276" w:lineRule="auto"/>
        <w:ind w:left="425" w:firstLine="0"/>
        <w:jc w:val="both"/>
      </w:pPr>
      <w:r>
        <w:t>Os preços deverão ser expressos em moeda corrente nacional, o valor unitário em algarismos e o valor global em algarismos e por extenso (art. 5º da Lei nº 8.666/93).</w:t>
      </w:r>
    </w:p>
    <w:p w:rsidR="00EF71EB" w:rsidRDefault="00EF71EB" w:rsidP="009D75B9">
      <w:pPr>
        <w:numPr>
          <w:ilvl w:val="2"/>
          <w:numId w:val="3"/>
        </w:numPr>
        <w:spacing w:before="120" w:after="120" w:line="276" w:lineRule="auto"/>
        <w:jc w:val="both"/>
      </w:pPr>
      <w:r>
        <w:t>Ocorrendo divergência entre os preços unitários e o preço global, prevalecerão os primeiros; no caso de divergência entre os valores numéricos e os valores expressos por extenso, prevalecerão estes últimos.</w:t>
      </w:r>
    </w:p>
    <w:p w:rsidR="00EF71EB" w:rsidRDefault="00EF71EB" w:rsidP="009D75B9">
      <w:pPr>
        <w:numPr>
          <w:ilvl w:val="1"/>
          <w:numId w:val="3"/>
        </w:numPr>
        <w:spacing w:before="120" w:after="120" w:line="276" w:lineRule="auto"/>
        <w:ind w:left="425" w:firstLine="0"/>
        <w:jc w:val="both"/>
      </w:pPr>
      <w:r>
        <w:tab/>
        <w:t>A oferta deverá ser firme e precisa, limitada, rigorosamente, ao objeto deste Edital, sem conter alternativas de preço ou de qualquer outra condição que induza o julgamento a mais de um resultado, sob pena de desclassificação.</w:t>
      </w:r>
    </w:p>
    <w:p w:rsidR="00EF71EB" w:rsidRDefault="00EF71EB" w:rsidP="009D75B9">
      <w:pPr>
        <w:numPr>
          <w:ilvl w:val="1"/>
          <w:numId w:val="3"/>
        </w:numPr>
        <w:spacing w:before="120" w:after="120" w:line="276" w:lineRule="auto"/>
        <w:ind w:left="425" w:firstLine="0"/>
        <w:jc w:val="both"/>
      </w:pPr>
      <w:r>
        <w:tab/>
        <w:t>A proposta deverá obedecer aos termos deste Edital e seus Anexos, não sendo considerada aquela que não corresponda às especificações ali contidas ou que estabeleça vínculo à proposta de outro licitante.</w:t>
      </w:r>
    </w:p>
    <w:p w:rsidR="00EF71EB" w:rsidRDefault="00EF71EB" w:rsidP="009D75B9">
      <w:pPr>
        <w:numPr>
          <w:ilvl w:val="1"/>
          <w:numId w:val="3"/>
        </w:numPr>
        <w:spacing w:before="120" w:after="120" w:line="276" w:lineRule="auto"/>
        <w:ind w:left="425" w:firstLine="0"/>
        <w:jc w:val="both"/>
      </w:pPr>
      <w:r>
        <w:rPr>
          <w:color w:val="000000"/>
        </w:rPr>
        <w:t>As propostas que contenham a descrição do objeto, o valor e os documentos complementares estarão disponíveis na internet, após a homologação.</w:t>
      </w:r>
    </w:p>
    <w:p w:rsidR="00EF71EB" w:rsidRDefault="00EF71EB" w:rsidP="009D75B9">
      <w:pPr>
        <w:keepNext/>
        <w:keepLines/>
        <w:numPr>
          <w:ilvl w:val="0"/>
          <w:numId w:val="3"/>
        </w:numPr>
        <w:pBdr>
          <w:top w:val="nil"/>
          <w:left w:val="nil"/>
          <w:bottom w:val="nil"/>
          <w:right w:val="nil"/>
          <w:between w:val="nil"/>
        </w:pBdr>
        <w:spacing w:before="480" w:after="120" w:line="276" w:lineRule="auto"/>
        <w:ind w:right="-15"/>
        <w:jc w:val="both"/>
        <w:rPr>
          <w:rFonts w:cs="Arial"/>
          <w:b/>
          <w:color w:val="000000"/>
          <w:szCs w:val="20"/>
        </w:rPr>
      </w:pPr>
      <w:r>
        <w:rPr>
          <w:rFonts w:eastAsia="Arial" w:cs="Arial"/>
          <w:b/>
          <w:color w:val="000000"/>
          <w:szCs w:val="20"/>
        </w:rPr>
        <w:t>DOS RECURSOS</w:t>
      </w:r>
    </w:p>
    <w:p w:rsidR="00EF71EB" w:rsidRDefault="00EF71EB" w:rsidP="009D75B9">
      <w:pPr>
        <w:numPr>
          <w:ilvl w:val="1"/>
          <w:numId w:val="3"/>
        </w:numPr>
        <w:spacing w:before="120" w:after="120" w:line="276" w:lineRule="auto"/>
        <w:ind w:left="425" w:firstLine="0"/>
        <w:jc w:val="both"/>
        <w:rPr>
          <w:color w:val="000000"/>
        </w:rPr>
      </w:pPr>
      <w:r>
        <w:rPr>
          <w:color w:val="000000"/>
        </w:rPr>
        <w:t xml:space="preserve">O Pregoeiro declarará o vencedor e, depois de decorrida a fase de regularização fiscal e trabalhista de microempresa ou empresa de pequeno porte, se for o caso, concederá o prazo de no mínimo trinta minutos, para que qualquer licitante manifeste a intenção de recorrer, </w:t>
      </w:r>
      <w:r>
        <w:rPr>
          <w:color w:val="000000"/>
        </w:rPr>
        <w:lastRenderedPageBreak/>
        <w:t>de forma motivada, isto é, indicando contra qual(is) decisão(ões) pretende recorrer e por quais motivos, em campo próprio do sistema.</w:t>
      </w:r>
    </w:p>
    <w:p w:rsidR="00EF71EB" w:rsidRDefault="00EF71EB" w:rsidP="009D75B9">
      <w:pPr>
        <w:numPr>
          <w:ilvl w:val="1"/>
          <w:numId w:val="3"/>
        </w:numPr>
        <w:spacing w:before="120" w:after="120" w:line="276" w:lineRule="auto"/>
        <w:ind w:left="425" w:firstLine="0"/>
        <w:jc w:val="both"/>
        <w:rPr>
          <w:color w:val="000000"/>
        </w:rPr>
      </w:pPr>
      <w:r>
        <w:rPr>
          <w:color w:val="000000"/>
        </w:rPr>
        <w:t>Havendo quem se manifeste, caberá ao Pregoeiro verificar a tempestividade e a existência de motivação da intenção de recorrer, para decidir se admite ou não o recurso, fundamentadamente.</w:t>
      </w:r>
    </w:p>
    <w:p w:rsidR="00EF71EB" w:rsidRDefault="00EF71EB" w:rsidP="009D75B9">
      <w:pPr>
        <w:numPr>
          <w:ilvl w:val="2"/>
          <w:numId w:val="3"/>
        </w:numPr>
        <w:tabs>
          <w:tab w:val="left" w:pos="1440"/>
        </w:tabs>
        <w:spacing w:before="120" w:after="120" w:line="276" w:lineRule="auto"/>
        <w:ind w:left="1134" w:firstLine="0"/>
        <w:jc w:val="both"/>
        <w:rPr>
          <w:color w:val="000000"/>
        </w:rPr>
      </w:pPr>
      <w:r>
        <w:rPr>
          <w:color w:val="000000"/>
        </w:rPr>
        <w:t>Nesse momento o Pregoeiro não adentrará no mérito recursal, mas apenas verificará as condições de admissibilidade do recurso.</w:t>
      </w:r>
    </w:p>
    <w:p w:rsidR="00EF71EB" w:rsidRDefault="00EF71EB" w:rsidP="009D75B9">
      <w:pPr>
        <w:numPr>
          <w:ilvl w:val="2"/>
          <w:numId w:val="3"/>
        </w:numPr>
        <w:tabs>
          <w:tab w:val="left" w:pos="1440"/>
        </w:tabs>
        <w:spacing w:before="120" w:after="120" w:line="276" w:lineRule="auto"/>
        <w:ind w:left="1134" w:firstLine="0"/>
        <w:jc w:val="both"/>
        <w:rPr>
          <w:color w:val="000000"/>
        </w:rPr>
      </w:pPr>
      <w:r>
        <w:rPr>
          <w:color w:val="000000"/>
        </w:rPr>
        <w:t>A falta de manifestação motivada do licitante quanto à intenção de recorrer importará a decadência desse direito.</w:t>
      </w:r>
    </w:p>
    <w:p w:rsidR="00EF71EB" w:rsidRDefault="00EF71EB" w:rsidP="009D75B9">
      <w:pPr>
        <w:numPr>
          <w:ilvl w:val="2"/>
          <w:numId w:val="3"/>
        </w:numPr>
        <w:tabs>
          <w:tab w:val="left" w:pos="1440"/>
        </w:tabs>
        <w:spacing w:before="120" w:after="120" w:line="276" w:lineRule="auto"/>
        <w:ind w:left="1134" w:firstLine="0"/>
        <w:jc w:val="both"/>
        <w:rPr>
          <w:color w:val="000000"/>
        </w:rPr>
      </w:pPr>
      <w:r>
        <w:rPr>
          <w:color w:val="00000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EF71EB" w:rsidRDefault="00EF71EB" w:rsidP="009D75B9">
      <w:pPr>
        <w:numPr>
          <w:ilvl w:val="1"/>
          <w:numId w:val="3"/>
        </w:numPr>
        <w:spacing w:before="120" w:after="120" w:line="276" w:lineRule="auto"/>
        <w:ind w:left="425" w:firstLine="0"/>
        <w:jc w:val="both"/>
        <w:rPr>
          <w:color w:val="000000"/>
        </w:rPr>
      </w:pPr>
      <w:r>
        <w:rPr>
          <w:color w:val="000000"/>
        </w:rPr>
        <w:t xml:space="preserve">O acolhimento do recurso invalida tão somente os atos insuscetíveis de aproveitamento. </w:t>
      </w:r>
    </w:p>
    <w:p w:rsidR="00EF71EB" w:rsidRDefault="00EF71EB" w:rsidP="009D75B9">
      <w:pPr>
        <w:numPr>
          <w:ilvl w:val="1"/>
          <w:numId w:val="3"/>
        </w:numPr>
        <w:spacing w:before="120" w:after="120" w:line="276" w:lineRule="auto"/>
        <w:ind w:left="425" w:firstLine="0"/>
        <w:jc w:val="both"/>
        <w:rPr>
          <w:color w:val="000000"/>
        </w:rPr>
      </w:pPr>
      <w:r>
        <w:rPr>
          <w:color w:val="000000"/>
        </w:rPr>
        <w:t>Os autos do processo permanecerão com vista franqueada aos interessados, no endereço constante neste Edital.</w:t>
      </w:r>
    </w:p>
    <w:p w:rsidR="00EF71EB" w:rsidRDefault="00EF71EB" w:rsidP="009D75B9">
      <w:pPr>
        <w:keepNext/>
        <w:keepLines/>
        <w:numPr>
          <w:ilvl w:val="0"/>
          <w:numId w:val="3"/>
        </w:numPr>
        <w:pBdr>
          <w:top w:val="nil"/>
          <w:left w:val="nil"/>
          <w:bottom w:val="nil"/>
          <w:right w:val="nil"/>
          <w:between w:val="nil"/>
        </w:pBdr>
        <w:spacing w:before="480" w:after="120" w:line="276" w:lineRule="auto"/>
        <w:ind w:right="-15"/>
        <w:jc w:val="both"/>
        <w:rPr>
          <w:rFonts w:cs="Arial"/>
          <w:b/>
          <w:color w:val="000000"/>
          <w:szCs w:val="20"/>
        </w:rPr>
      </w:pPr>
      <w:r>
        <w:rPr>
          <w:rFonts w:eastAsia="Arial" w:cs="Arial"/>
          <w:b/>
          <w:color w:val="000000"/>
          <w:szCs w:val="20"/>
        </w:rPr>
        <w:t>DA REABERTURA DA SESSÃO PÚBLICA</w:t>
      </w:r>
    </w:p>
    <w:p w:rsidR="00EF71EB" w:rsidRDefault="00EF71EB" w:rsidP="009D75B9">
      <w:pPr>
        <w:numPr>
          <w:ilvl w:val="1"/>
          <w:numId w:val="3"/>
        </w:numPr>
        <w:pBdr>
          <w:top w:val="nil"/>
          <w:left w:val="nil"/>
          <w:bottom w:val="nil"/>
          <w:right w:val="nil"/>
          <w:between w:val="nil"/>
        </w:pBdr>
        <w:tabs>
          <w:tab w:val="left" w:pos="567"/>
        </w:tabs>
        <w:spacing w:before="120" w:after="120" w:line="276" w:lineRule="auto"/>
        <w:jc w:val="both"/>
        <w:rPr>
          <w:rFonts w:cs="Arial"/>
          <w:color w:val="000000"/>
          <w:szCs w:val="20"/>
        </w:rPr>
      </w:pPr>
      <w:r>
        <w:rPr>
          <w:rFonts w:eastAsia="Arial" w:cs="Arial"/>
          <w:color w:val="000000"/>
          <w:szCs w:val="20"/>
        </w:rPr>
        <w:t>A sessão pública poderá ser reaberta:</w:t>
      </w:r>
    </w:p>
    <w:p w:rsidR="00EF71EB" w:rsidRDefault="00EF71EB" w:rsidP="009D75B9">
      <w:pPr>
        <w:numPr>
          <w:ilvl w:val="2"/>
          <w:numId w:val="3"/>
        </w:numPr>
        <w:pBdr>
          <w:top w:val="nil"/>
          <w:left w:val="nil"/>
          <w:bottom w:val="nil"/>
          <w:right w:val="nil"/>
          <w:between w:val="nil"/>
        </w:pBdr>
        <w:tabs>
          <w:tab w:val="left" w:pos="567"/>
        </w:tabs>
        <w:spacing w:before="120" w:after="120" w:line="276" w:lineRule="auto"/>
        <w:ind w:left="1134" w:firstLine="0"/>
        <w:jc w:val="both"/>
        <w:rPr>
          <w:rFonts w:cs="Arial"/>
          <w:color w:val="000000"/>
          <w:szCs w:val="20"/>
        </w:rPr>
      </w:pPr>
      <w:r>
        <w:rPr>
          <w:rFonts w:eastAsia="Arial" w:cs="Arial"/>
          <w:color w:val="000000"/>
          <w:szCs w:val="20"/>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EF71EB" w:rsidRDefault="00EF71EB" w:rsidP="009D75B9">
      <w:pPr>
        <w:numPr>
          <w:ilvl w:val="2"/>
          <w:numId w:val="3"/>
        </w:numPr>
        <w:pBdr>
          <w:top w:val="nil"/>
          <w:left w:val="nil"/>
          <w:bottom w:val="nil"/>
          <w:right w:val="nil"/>
          <w:between w:val="nil"/>
        </w:pBdr>
        <w:tabs>
          <w:tab w:val="left" w:pos="567"/>
        </w:tabs>
        <w:spacing w:before="120" w:after="120" w:line="276" w:lineRule="auto"/>
        <w:ind w:left="1134" w:firstLine="0"/>
        <w:jc w:val="both"/>
        <w:rPr>
          <w:rFonts w:cs="Arial"/>
          <w:color w:val="000000"/>
          <w:szCs w:val="20"/>
        </w:rPr>
      </w:pPr>
      <w:r>
        <w:rPr>
          <w:rFonts w:eastAsia="Arial" w:cs="Arial"/>
          <w:color w:val="000000"/>
          <w:szCs w:val="20"/>
        </w:rPr>
        <w:t xml:space="preserve">Quando houver erro na aceitação do preço melhor classificado ou quando o licitante declarado vencedor não assinar o contrato, não retirar o instrumento equivalente ou não comprovar a regularização </w:t>
      </w:r>
      <w:r>
        <w:t>fiscal e</w:t>
      </w:r>
      <w:r>
        <w:rPr>
          <w:rFonts w:eastAsia="Arial" w:cs="Arial"/>
          <w:color w:val="000000"/>
          <w:szCs w:val="20"/>
        </w:rPr>
        <w:t xml:space="preserve"> trabalhista, nos termos do art. 43, §1º da LC nº 123/2006, serão adotados os procedimentos imediatamente posteriores ao encerramento da etapa de lances. </w:t>
      </w:r>
    </w:p>
    <w:p w:rsidR="00EF71EB" w:rsidRDefault="00EF71EB" w:rsidP="009D75B9">
      <w:pPr>
        <w:numPr>
          <w:ilvl w:val="1"/>
          <w:numId w:val="3"/>
        </w:numPr>
        <w:pBdr>
          <w:top w:val="nil"/>
          <w:left w:val="nil"/>
          <w:bottom w:val="nil"/>
          <w:right w:val="nil"/>
          <w:between w:val="nil"/>
        </w:pBdr>
        <w:tabs>
          <w:tab w:val="left" w:pos="567"/>
        </w:tabs>
        <w:spacing w:before="120" w:after="120" w:line="276" w:lineRule="auto"/>
        <w:ind w:left="425" w:firstLine="0"/>
        <w:jc w:val="both"/>
        <w:rPr>
          <w:rFonts w:cs="Arial"/>
          <w:color w:val="000000"/>
          <w:szCs w:val="20"/>
        </w:rPr>
      </w:pPr>
      <w:r>
        <w:rPr>
          <w:rFonts w:eastAsia="Arial" w:cs="Arial"/>
          <w:color w:val="000000"/>
          <w:szCs w:val="20"/>
        </w:rPr>
        <w:t>Todos os licitantes remanescentes deverão ser convocados para acompanhar a sessão reaberta.</w:t>
      </w:r>
    </w:p>
    <w:p w:rsidR="00EF71EB" w:rsidRDefault="00EF71EB" w:rsidP="009D75B9">
      <w:pPr>
        <w:numPr>
          <w:ilvl w:val="2"/>
          <w:numId w:val="3"/>
        </w:numPr>
        <w:pBdr>
          <w:top w:val="nil"/>
          <w:left w:val="nil"/>
          <w:bottom w:val="nil"/>
          <w:right w:val="nil"/>
          <w:between w:val="nil"/>
        </w:pBdr>
        <w:tabs>
          <w:tab w:val="left" w:pos="567"/>
        </w:tabs>
        <w:spacing w:before="120" w:after="120" w:line="276" w:lineRule="auto"/>
        <w:ind w:left="1134" w:firstLine="0"/>
        <w:jc w:val="both"/>
        <w:rPr>
          <w:rFonts w:cs="Arial"/>
          <w:color w:val="000000"/>
          <w:szCs w:val="20"/>
        </w:rPr>
      </w:pPr>
      <w:r>
        <w:rPr>
          <w:rFonts w:eastAsia="Arial" w:cs="Arial"/>
          <w:color w:val="000000"/>
          <w:szCs w:val="20"/>
        </w:rPr>
        <w:t>A convocação se dará por meio do sistema eletrônico (“chat”) ou e-mail, de acordo com a fase do procedimento licitatório.</w:t>
      </w:r>
    </w:p>
    <w:p w:rsidR="00EF71EB" w:rsidRDefault="00EF71EB" w:rsidP="009D75B9">
      <w:pPr>
        <w:numPr>
          <w:ilvl w:val="2"/>
          <w:numId w:val="3"/>
        </w:numPr>
        <w:pBdr>
          <w:top w:val="nil"/>
          <w:left w:val="nil"/>
          <w:bottom w:val="nil"/>
          <w:right w:val="nil"/>
          <w:between w:val="nil"/>
        </w:pBdr>
        <w:tabs>
          <w:tab w:val="left" w:pos="567"/>
        </w:tabs>
        <w:spacing w:before="120" w:after="120" w:line="276" w:lineRule="auto"/>
        <w:ind w:left="1134" w:firstLine="0"/>
        <w:jc w:val="both"/>
        <w:rPr>
          <w:rFonts w:cs="Arial"/>
          <w:color w:val="000000"/>
          <w:szCs w:val="20"/>
        </w:rPr>
      </w:pPr>
      <w:r>
        <w:rPr>
          <w:rFonts w:eastAsia="Arial" w:cs="Arial"/>
          <w:color w:val="000000"/>
          <w:szCs w:val="20"/>
        </w:rPr>
        <w:t>A convocação feita por e-mail dar-se-á de acordo com os dados contidos no SICAF, sendo responsabilidade do licitante manter seus dados cadastrais atualizados.</w:t>
      </w:r>
    </w:p>
    <w:p w:rsidR="00EF71EB" w:rsidRDefault="00EF71EB" w:rsidP="009D75B9">
      <w:pPr>
        <w:keepNext/>
        <w:keepLines/>
        <w:numPr>
          <w:ilvl w:val="0"/>
          <w:numId w:val="3"/>
        </w:numPr>
        <w:pBdr>
          <w:top w:val="nil"/>
          <w:left w:val="nil"/>
          <w:bottom w:val="nil"/>
          <w:right w:val="nil"/>
          <w:between w:val="nil"/>
        </w:pBdr>
        <w:spacing w:before="480" w:after="120" w:line="276" w:lineRule="auto"/>
        <w:ind w:right="-15"/>
        <w:jc w:val="both"/>
        <w:rPr>
          <w:rFonts w:cs="Arial"/>
          <w:b/>
          <w:color w:val="000000"/>
          <w:szCs w:val="20"/>
        </w:rPr>
      </w:pPr>
      <w:r>
        <w:rPr>
          <w:rFonts w:eastAsia="Arial" w:cs="Arial"/>
          <w:b/>
          <w:color w:val="000000"/>
          <w:szCs w:val="20"/>
        </w:rPr>
        <w:lastRenderedPageBreak/>
        <w:t>DA ADJUDICAÇÃO E HOMOLOGAÇÃO</w:t>
      </w:r>
    </w:p>
    <w:p w:rsidR="00EF71EB" w:rsidRDefault="00EF71EB" w:rsidP="009D75B9">
      <w:pPr>
        <w:numPr>
          <w:ilvl w:val="1"/>
          <w:numId w:val="3"/>
        </w:numPr>
        <w:spacing w:before="120" w:after="120" w:line="276" w:lineRule="auto"/>
        <w:ind w:left="425" w:firstLine="0"/>
        <w:jc w:val="both"/>
        <w:rPr>
          <w:color w:val="000000"/>
        </w:rPr>
      </w:pPr>
      <w:r>
        <w:rPr>
          <w:color w:val="000000"/>
        </w:rPr>
        <w:t>O objeto da licitação será adjudicado ao licitante declarado vencedor, por ato do Pregoeiro, caso não haja interposição de recurso, ou pela autoridade competente, após a regular decisão dos recursos apresentados.</w:t>
      </w:r>
    </w:p>
    <w:p w:rsidR="00EF71EB" w:rsidRDefault="00EF71EB" w:rsidP="009D75B9">
      <w:pPr>
        <w:numPr>
          <w:ilvl w:val="1"/>
          <w:numId w:val="3"/>
        </w:numPr>
        <w:spacing w:before="120" w:after="120" w:line="276" w:lineRule="auto"/>
        <w:ind w:left="425" w:firstLine="0"/>
        <w:jc w:val="both"/>
        <w:rPr>
          <w:color w:val="000000"/>
        </w:rPr>
      </w:pPr>
      <w:r>
        <w:rPr>
          <w:color w:val="000000"/>
        </w:rPr>
        <w:t xml:space="preserve">Após a fase recursal, constatada a regularidade dos atos praticados, a autoridade competente homologará o procedimento licitatório. </w:t>
      </w:r>
    </w:p>
    <w:p w:rsidR="00EF71EB" w:rsidRDefault="00EF71EB" w:rsidP="009D75B9">
      <w:pPr>
        <w:keepNext/>
        <w:keepLines/>
        <w:numPr>
          <w:ilvl w:val="0"/>
          <w:numId w:val="3"/>
        </w:numPr>
        <w:pBdr>
          <w:top w:val="nil"/>
          <w:left w:val="nil"/>
          <w:bottom w:val="nil"/>
          <w:right w:val="nil"/>
          <w:between w:val="nil"/>
        </w:pBdr>
        <w:spacing w:before="480" w:after="120" w:line="276" w:lineRule="auto"/>
        <w:ind w:right="-15"/>
        <w:jc w:val="both"/>
        <w:rPr>
          <w:rFonts w:cs="Arial"/>
          <w:b/>
          <w:color w:val="000000"/>
          <w:szCs w:val="20"/>
        </w:rPr>
      </w:pPr>
      <w:r>
        <w:rPr>
          <w:rFonts w:eastAsia="Arial" w:cs="Arial"/>
          <w:b/>
          <w:color w:val="000000"/>
          <w:szCs w:val="20"/>
        </w:rPr>
        <w:t>DA GARANTIA DE EXECUÇÃO</w:t>
      </w:r>
    </w:p>
    <w:p w:rsidR="00EF71EB" w:rsidRDefault="00EF71EB" w:rsidP="009D75B9">
      <w:pPr>
        <w:numPr>
          <w:ilvl w:val="1"/>
          <w:numId w:val="3"/>
        </w:numPr>
        <w:spacing w:before="120" w:after="120" w:line="276" w:lineRule="auto"/>
        <w:ind w:left="425" w:firstLine="0"/>
        <w:jc w:val="both"/>
      </w:pPr>
      <w:r>
        <w:rPr>
          <w:color w:val="000000"/>
        </w:rPr>
        <w:t>Será</w:t>
      </w:r>
      <w:r>
        <w:t xml:space="preserve"> exigida a prestação de garantia na presente contratação, conforme regras constantes do Termo de Referência. </w:t>
      </w:r>
    </w:p>
    <w:p w:rsidR="00EF71EB" w:rsidRDefault="00EF71EB" w:rsidP="009D75B9">
      <w:pPr>
        <w:keepNext/>
        <w:keepLines/>
        <w:numPr>
          <w:ilvl w:val="0"/>
          <w:numId w:val="5"/>
        </w:numPr>
        <w:pBdr>
          <w:top w:val="nil"/>
          <w:left w:val="nil"/>
          <w:bottom w:val="nil"/>
          <w:right w:val="nil"/>
          <w:between w:val="nil"/>
        </w:pBdr>
        <w:spacing w:before="480" w:after="120" w:line="276" w:lineRule="auto"/>
        <w:ind w:right="-15"/>
        <w:jc w:val="both"/>
        <w:rPr>
          <w:rFonts w:cs="Arial"/>
          <w:b/>
          <w:color w:val="000000"/>
          <w:szCs w:val="20"/>
        </w:rPr>
      </w:pPr>
      <w:r>
        <w:rPr>
          <w:rFonts w:eastAsia="Arial" w:cs="Arial"/>
          <w:b/>
          <w:color w:val="000000"/>
          <w:szCs w:val="20"/>
        </w:rPr>
        <w:t>DO TERMO DE CONTRATO</w:t>
      </w:r>
    </w:p>
    <w:p w:rsidR="00EF71EB" w:rsidRDefault="00EF71EB" w:rsidP="009D75B9">
      <w:pPr>
        <w:numPr>
          <w:ilvl w:val="1"/>
          <w:numId w:val="5"/>
        </w:numPr>
        <w:spacing w:before="120" w:after="120" w:line="276" w:lineRule="auto"/>
        <w:ind w:left="425" w:firstLine="0"/>
        <w:jc w:val="both"/>
        <w:rPr>
          <w:color w:val="000000"/>
        </w:rPr>
      </w:pPr>
      <w:r>
        <w:rPr>
          <w:color w:val="000000"/>
        </w:rPr>
        <w:t>Após a homologação da licitação, em sendo realizada a contratação, será firmado Termo de Contrato ou emitido instrumento equivalente.</w:t>
      </w:r>
    </w:p>
    <w:p w:rsidR="00EF71EB" w:rsidRDefault="00EF71EB" w:rsidP="009D75B9">
      <w:pPr>
        <w:numPr>
          <w:ilvl w:val="1"/>
          <w:numId w:val="5"/>
        </w:numPr>
        <w:spacing w:before="120" w:after="120" w:line="276" w:lineRule="auto"/>
        <w:ind w:left="425" w:firstLine="0"/>
        <w:jc w:val="both"/>
        <w:rPr>
          <w:color w:val="000000"/>
        </w:rPr>
      </w:pPr>
      <w:r>
        <w:rPr>
          <w:color w:val="000000"/>
        </w:rPr>
        <w:t xml:space="preserve">O adjudicatário terá o prazo de </w:t>
      </w:r>
      <w:r>
        <w:rPr>
          <w:b/>
          <w:color w:val="000000"/>
        </w:rPr>
        <w:t>05 (cinco) dias úteis</w:t>
      </w:r>
      <w:r>
        <w:rPr>
          <w:color w:val="000000"/>
        </w:rPr>
        <w:t xml:space="preserve">,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rsidR="00EF71EB" w:rsidRDefault="00EF71EB" w:rsidP="009D75B9">
      <w:pPr>
        <w:numPr>
          <w:ilvl w:val="2"/>
          <w:numId w:val="5"/>
        </w:numPr>
        <w:spacing w:before="120" w:after="120" w:line="276" w:lineRule="auto"/>
        <w:jc w:val="both"/>
        <w:rPr>
          <w:color w:val="000000"/>
        </w:rPr>
      </w:pPr>
      <w:r>
        <w:rPr>
          <w:color w:val="000000"/>
        </w:rPr>
        <w:t xml:space="preserve">Alternativamente à convocação para comparecer perante o órgão ou entidade para a assinatura do Termo de Contrato, a Administração poderá encaminhá-lo para assinatura, mediante correspondência postal com aviso de recebimento (AR) ou meio eletrônico, para que seja assinado e devolvido no prazo de </w:t>
      </w:r>
      <w:r>
        <w:rPr>
          <w:b/>
          <w:color w:val="000000"/>
        </w:rPr>
        <w:t>05 (cinco) dias</w:t>
      </w:r>
      <w:r>
        <w:rPr>
          <w:color w:val="000000"/>
        </w:rPr>
        <w:t xml:space="preserve">, a contar da data de seu recebimento. </w:t>
      </w:r>
    </w:p>
    <w:p w:rsidR="00EF71EB" w:rsidRDefault="00EF71EB" w:rsidP="009D75B9">
      <w:pPr>
        <w:numPr>
          <w:ilvl w:val="2"/>
          <w:numId w:val="5"/>
        </w:numPr>
        <w:spacing w:before="120" w:after="120" w:line="276" w:lineRule="auto"/>
        <w:jc w:val="both"/>
        <w:rPr>
          <w:color w:val="000000"/>
        </w:rPr>
      </w:pPr>
      <w:r>
        <w:rPr>
          <w:color w:val="000000"/>
        </w:rPr>
        <w:t>O prazo previsto no subitem anterior poderá ser prorrogado, por igual período, por solicitação justificada do adjudicatário e aceita pela Administração.</w:t>
      </w:r>
    </w:p>
    <w:p w:rsidR="00EF71EB" w:rsidRDefault="00EF71EB" w:rsidP="009D75B9">
      <w:pPr>
        <w:numPr>
          <w:ilvl w:val="1"/>
          <w:numId w:val="5"/>
        </w:numPr>
        <w:spacing w:before="120" w:after="120" w:line="276" w:lineRule="auto"/>
        <w:ind w:left="425" w:firstLine="0"/>
        <w:jc w:val="both"/>
        <w:rPr>
          <w:color w:val="000000"/>
        </w:rPr>
      </w:pPr>
      <w:r>
        <w:rPr>
          <w:color w:val="000000"/>
        </w:rPr>
        <w:t>O Aceite da Nota de Empenho ou do instrumento equivalente, emitida à empresa adjudicada, implica no reconhecimento de que:</w:t>
      </w:r>
    </w:p>
    <w:p w:rsidR="00EF71EB" w:rsidRDefault="00EF71EB" w:rsidP="009D75B9">
      <w:pPr>
        <w:numPr>
          <w:ilvl w:val="2"/>
          <w:numId w:val="5"/>
        </w:numPr>
        <w:spacing w:before="120" w:after="120" w:line="276" w:lineRule="auto"/>
        <w:jc w:val="both"/>
        <w:rPr>
          <w:color w:val="000000"/>
        </w:rPr>
      </w:pPr>
      <w:r>
        <w:rPr>
          <w:color w:val="000000"/>
        </w:rPr>
        <w:t>referida Nota está substituindo o contrato, aplicando-se à relação de negócios ali estabelecida as disposições da Lei nº 8.666, de 1993;</w:t>
      </w:r>
    </w:p>
    <w:p w:rsidR="00EF71EB" w:rsidRDefault="00EF71EB" w:rsidP="009D75B9">
      <w:pPr>
        <w:numPr>
          <w:ilvl w:val="2"/>
          <w:numId w:val="5"/>
        </w:numPr>
        <w:spacing w:before="120" w:after="120" w:line="276" w:lineRule="auto"/>
        <w:jc w:val="both"/>
        <w:rPr>
          <w:color w:val="000000"/>
        </w:rPr>
      </w:pPr>
      <w:r>
        <w:rPr>
          <w:color w:val="000000"/>
        </w:rPr>
        <w:t>a contratada se vincula à sua proposta e às previsões contidas no edital e seus anexos;</w:t>
      </w:r>
    </w:p>
    <w:p w:rsidR="00EF71EB" w:rsidRDefault="00EF71EB" w:rsidP="009D75B9">
      <w:pPr>
        <w:numPr>
          <w:ilvl w:val="2"/>
          <w:numId w:val="5"/>
        </w:numPr>
        <w:spacing w:before="120" w:after="120" w:line="276" w:lineRule="auto"/>
        <w:jc w:val="both"/>
        <w:rPr>
          <w:color w:val="000000"/>
        </w:rPr>
      </w:pPr>
      <w:r>
        <w:rPr>
          <w:color w:val="000000"/>
        </w:rPr>
        <w:t>a contratada reconhece que as hipóteses de rescisão são aquelas previstas nos artigos 77 e 78 da Lei nº 8.666/93 e reconhece os direitos da Administração previstos nos artigos 79 e 80 da mesma Lei.</w:t>
      </w:r>
    </w:p>
    <w:p w:rsidR="00EF71EB" w:rsidRDefault="00EF71EB" w:rsidP="009D75B9">
      <w:pPr>
        <w:numPr>
          <w:ilvl w:val="1"/>
          <w:numId w:val="5"/>
        </w:numPr>
        <w:spacing w:before="120" w:after="120" w:line="276" w:lineRule="auto"/>
        <w:ind w:left="425" w:firstLine="0"/>
        <w:jc w:val="both"/>
        <w:rPr>
          <w:color w:val="000000"/>
        </w:rPr>
      </w:pPr>
      <w:r>
        <w:rPr>
          <w:color w:val="000000"/>
        </w:rPr>
        <w:t xml:space="preserve">O prazo de vigência da contratação é de 12 (doze) meses prorrogável conforme </w:t>
      </w:r>
      <w:r>
        <w:t>previsão no instrumento contratual.</w:t>
      </w:r>
    </w:p>
    <w:p w:rsidR="00EF71EB" w:rsidRDefault="00EF71EB" w:rsidP="009D75B9">
      <w:pPr>
        <w:numPr>
          <w:ilvl w:val="1"/>
          <w:numId w:val="5"/>
        </w:numPr>
        <w:spacing w:before="120" w:after="120" w:line="276" w:lineRule="auto"/>
        <w:ind w:left="425" w:firstLine="0"/>
        <w:jc w:val="both"/>
        <w:rPr>
          <w:color w:val="000000"/>
        </w:rPr>
      </w:pPr>
      <w:r>
        <w:rPr>
          <w:color w:val="000000"/>
        </w:rPr>
        <w:t xml:space="preserve">Previamente à contratação a Administração realizará consulta ao </w:t>
      </w:r>
      <w:r>
        <w:t>SICAF para</w:t>
      </w:r>
      <w:r>
        <w:rPr>
          <w:color w:val="000000"/>
        </w:rPr>
        <w:t xml:space="preserve"> identificar possível suspensão temporária de participação em licitação, no âmbito do órgão ou </w:t>
      </w:r>
      <w:r>
        <w:rPr>
          <w:color w:val="000000"/>
        </w:rPr>
        <w:lastRenderedPageBreak/>
        <w:t>entidade, proibição de contratar com o Poder Público, bem como ocorrências impeditivas indiretas, observado o disposto no art. 29, da Instrução Normativa nº 3, de 26 de abril de 2018, e nos termos do art. 6º, III, da Lei nº 10.522, de 19 de julho de 2002, consulta prévia ao CADIN.</w:t>
      </w:r>
    </w:p>
    <w:p w:rsidR="00EF71EB" w:rsidRDefault="00EF71EB" w:rsidP="009D75B9">
      <w:pPr>
        <w:numPr>
          <w:ilvl w:val="2"/>
          <w:numId w:val="5"/>
        </w:numPr>
        <w:spacing w:before="120" w:after="120" w:line="276" w:lineRule="auto"/>
        <w:jc w:val="both"/>
        <w:rPr>
          <w:color w:val="000000"/>
        </w:rPr>
      </w:pPr>
      <w:r>
        <w:rPr>
          <w:color w:val="000000"/>
        </w:rPr>
        <w:t>Nos casos em que houver necessidade de assinatura do instrumento de contrato, e o fornecedor não estiver inscrito no SICAF, este deverá proceder ao seu cadastramento, sem ônus, antes da contratação.</w:t>
      </w:r>
    </w:p>
    <w:p w:rsidR="00EF71EB" w:rsidRDefault="00EF71EB" w:rsidP="009D75B9">
      <w:pPr>
        <w:numPr>
          <w:ilvl w:val="2"/>
          <w:numId w:val="5"/>
        </w:numPr>
        <w:spacing w:before="120" w:after="120" w:line="276" w:lineRule="auto"/>
        <w:jc w:val="both"/>
        <w:rPr>
          <w:color w:val="000000"/>
        </w:rPr>
      </w:pPr>
      <w:r>
        <w:rPr>
          <w:color w:val="000000"/>
        </w:rPr>
        <w:t>Na hipótese de irregularidade do registro no SICAF, o contratado deverá regularizar a sua situação perante o cadastro no prazo de até 05 (cinco) dias úteis, sob pena de aplicação das penalidades previstas no edital e anexos.</w:t>
      </w:r>
    </w:p>
    <w:p w:rsidR="00EF71EB" w:rsidRDefault="00EF71EB" w:rsidP="009D75B9">
      <w:pPr>
        <w:numPr>
          <w:ilvl w:val="1"/>
          <w:numId w:val="5"/>
        </w:numPr>
        <w:spacing w:before="120" w:after="120" w:line="276" w:lineRule="auto"/>
        <w:ind w:left="425" w:firstLine="0"/>
        <w:jc w:val="both"/>
        <w:rPr>
          <w:color w:val="000000"/>
        </w:rPr>
      </w:pPr>
      <w:r>
        <w:rPr>
          <w:color w:val="000000"/>
        </w:rPr>
        <w:t>Na assinatura do contrato ou da ata de registro de preços, será exigida a comprovação das condições de habilitação consignadas no edital, que deverão ser mantidas pelo licitante durante a vigência do contrato ou da ata de registro de preços.</w:t>
      </w:r>
    </w:p>
    <w:p w:rsidR="00EF71EB" w:rsidRDefault="00EF71EB" w:rsidP="009D75B9">
      <w:pPr>
        <w:numPr>
          <w:ilvl w:val="1"/>
          <w:numId w:val="5"/>
        </w:numPr>
        <w:spacing w:before="120" w:after="120" w:line="276" w:lineRule="auto"/>
        <w:ind w:left="425" w:firstLine="0"/>
        <w:jc w:val="both"/>
        <w:rPr>
          <w:color w:val="000000"/>
        </w:rPr>
      </w:pPr>
      <w:r>
        <w:rPr>
          <w:color w:val="000000"/>
        </w:rPr>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EF71EB" w:rsidRDefault="00EF71EB" w:rsidP="009D75B9">
      <w:pPr>
        <w:keepNext/>
        <w:keepLines/>
        <w:numPr>
          <w:ilvl w:val="0"/>
          <w:numId w:val="5"/>
        </w:numPr>
        <w:pBdr>
          <w:top w:val="nil"/>
          <w:left w:val="nil"/>
          <w:bottom w:val="nil"/>
          <w:right w:val="nil"/>
          <w:between w:val="nil"/>
        </w:pBdr>
        <w:spacing w:before="480" w:after="120" w:line="276" w:lineRule="auto"/>
        <w:ind w:right="-15"/>
        <w:jc w:val="both"/>
        <w:rPr>
          <w:rFonts w:cs="Arial"/>
          <w:b/>
          <w:color w:val="000000"/>
          <w:szCs w:val="20"/>
        </w:rPr>
      </w:pPr>
      <w:r>
        <w:rPr>
          <w:rFonts w:eastAsia="Arial" w:cs="Arial"/>
          <w:b/>
          <w:color w:val="000000"/>
          <w:szCs w:val="20"/>
          <w:highlight w:val="white"/>
        </w:rPr>
        <w:t>DO REAJUSTAMENTO EM SENTIDO GERAL</w:t>
      </w:r>
    </w:p>
    <w:p w:rsidR="00EF71EB" w:rsidRDefault="00EF71EB" w:rsidP="009D75B9">
      <w:pPr>
        <w:keepNext/>
        <w:keepLines/>
        <w:numPr>
          <w:ilvl w:val="1"/>
          <w:numId w:val="5"/>
        </w:numPr>
        <w:pBdr>
          <w:top w:val="nil"/>
          <w:left w:val="nil"/>
          <w:bottom w:val="nil"/>
          <w:right w:val="nil"/>
          <w:between w:val="nil"/>
        </w:pBdr>
        <w:spacing w:before="120" w:after="360" w:line="276" w:lineRule="auto"/>
        <w:ind w:right="-15"/>
        <w:jc w:val="both"/>
        <w:rPr>
          <w:rFonts w:cs="Arial"/>
          <w:color w:val="000000"/>
          <w:szCs w:val="20"/>
        </w:rPr>
      </w:pPr>
      <w:r>
        <w:rPr>
          <w:rFonts w:eastAsia="Arial" w:cs="Arial"/>
          <w:color w:val="000000"/>
          <w:szCs w:val="20"/>
        </w:rPr>
        <w:t>As regras acerca do reajustamento em sentido geral do valor contratual são as estabelecidas no Termo de Referência, anexo a este Edital.</w:t>
      </w:r>
    </w:p>
    <w:p w:rsidR="00EF71EB" w:rsidRDefault="00EF71EB" w:rsidP="009D75B9">
      <w:pPr>
        <w:keepNext/>
        <w:keepLines/>
        <w:numPr>
          <w:ilvl w:val="0"/>
          <w:numId w:val="5"/>
        </w:numPr>
        <w:pBdr>
          <w:top w:val="nil"/>
          <w:left w:val="nil"/>
          <w:bottom w:val="nil"/>
          <w:right w:val="nil"/>
          <w:between w:val="nil"/>
        </w:pBdr>
        <w:spacing w:before="360" w:after="120" w:line="276" w:lineRule="auto"/>
        <w:ind w:right="-15"/>
        <w:jc w:val="both"/>
        <w:rPr>
          <w:rFonts w:cs="Arial"/>
          <w:b/>
          <w:color w:val="000000"/>
          <w:szCs w:val="20"/>
        </w:rPr>
      </w:pPr>
      <w:r>
        <w:rPr>
          <w:rFonts w:eastAsia="Arial" w:cs="Arial"/>
          <w:b/>
          <w:color w:val="000000"/>
          <w:szCs w:val="20"/>
        </w:rPr>
        <w:t>DA ACEITAÇÃO DO OBJETO E DA FISCALIZAÇÃO</w:t>
      </w:r>
    </w:p>
    <w:p w:rsidR="00EF71EB" w:rsidRDefault="00EF71EB" w:rsidP="009D75B9">
      <w:pPr>
        <w:numPr>
          <w:ilvl w:val="1"/>
          <w:numId w:val="5"/>
        </w:numPr>
        <w:spacing w:before="120" w:after="120" w:line="276" w:lineRule="auto"/>
        <w:ind w:left="425" w:firstLine="0"/>
        <w:jc w:val="both"/>
      </w:pPr>
      <w:r>
        <w:t>Os critérios de aceitação do objeto e de fiscalização estão previstos no Termo de Referência.</w:t>
      </w:r>
    </w:p>
    <w:p w:rsidR="00EF71EB" w:rsidRDefault="00EF71EB" w:rsidP="009D75B9">
      <w:pPr>
        <w:keepNext/>
        <w:keepLines/>
        <w:numPr>
          <w:ilvl w:val="0"/>
          <w:numId w:val="5"/>
        </w:numPr>
        <w:pBdr>
          <w:top w:val="nil"/>
          <w:left w:val="nil"/>
          <w:bottom w:val="nil"/>
          <w:right w:val="nil"/>
          <w:between w:val="nil"/>
        </w:pBdr>
        <w:spacing w:before="480" w:after="120" w:line="276" w:lineRule="auto"/>
        <w:ind w:right="-15"/>
        <w:jc w:val="both"/>
        <w:rPr>
          <w:rFonts w:cs="Arial"/>
          <w:b/>
          <w:color w:val="000000"/>
          <w:szCs w:val="20"/>
        </w:rPr>
      </w:pPr>
      <w:r>
        <w:rPr>
          <w:rFonts w:eastAsia="Arial" w:cs="Arial"/>
          <w:b/>
          <w:color w:val="000000"/>
          <w:szCs w:val="20"/>
        </w:rPr>
        <w:t>DAS OBRIGAÇÕES DA CONTRATANTE E DA CONTRATADA</w:t>
      </w:r>
    </w:p>
    <w:p w:rsidR="00EF71EB" w:rsidRDefault="00EF71EB" w:rsidP="009D75B9">
      <w:pPr>
        <w:numPr>
          <w:ilvl w:val="1"/>
          <w:numId w:val="5"/>
        </w:numPr>
        <w:spacing w:before="120" w:after="120" w:line="276" w:lineRule="auto"/>
        <w:ind w:left="425" w:firstLine="0"/>
        <w:jc w:val="both"/>
        <w:rPr>
          <w:color w:val="000000"/>
        </w:rPr>
      </w:pPr>
      <w:r>
        <w:rPr>
          <w:color w:val="000000"/>
        </w:rPr>
        <w:t xml:space="preserve">As obrigações da Contratante e da Contratada são as estabelecidas no Termo de </w:t>
      </w:r>
      <w:r>
        <w:t>Referência</w:t>
      </w:r>
      <w:r>
        <w:rPr>
          <w:color w:val="000000"/>
        </w:rPr>
        <w:t>.</w:t>
      </w:r>
    </w:p>
    <w:p w:rsidR="00EF71EB" w:rsidRDefault="00EF71EB" w:rsidP="009D75B9">
      <w:pPr>
        <w:keepNext/>
        <w:keepLines/>
        <w:numPr>
          <w:ilvl w:val="0"/>
          <w:numId w:val="5"/>
        </w:numPr>
        <w:pBdr>
          <w:top w:val="nil"/>
          <w:left w:val="nil"/>
          <w:bottom w:val="nil"/>
          <w:right w:val="nil"/>
          <w:between w:val="nil"/>
        </w:pBdr>
        <w:spacing w:before="480" w:after="120" w:line="276" w:lineRule="auto"/>
        <w:ind w:right="-15"/>
        <w:jc w:val="both"/>
        <w:rPr>
          <w:rFonts w:cs="Arial"/>
          <w:b/>
          <w:color w:val="000000"/>
          <w:szCs w:val="20"/>
        </w:rPr>
      </w:pPr>
      <w:r>
        <w:rPr>
          <w:rFonts w:eastAsia="Arial" w:cs="Arial"/>
          <w:b/>
          <w:color w:val="000000"/>
          <w:szCs w:val="20"/>
        </w:rPr>
        <w:t>DO PAGAMENTO</w:t>
      </w:r>
    </w:p>
    <w:p w:rsidR="00EF71EB" w:rsidRDefault="00EF71EB" w:rsidP="009D75B9">
      <w:pPr>
        <w:numPr>
          <w:ilvl w:val="1"/>
          <w:numId w:val="5"/>
        </w:numPr>
        <w:pBdr>
          <w:top w:val="nil"/>
          <w:left w:val="nil"/>
          <w:bottom w:val="nil"/>
          <w:right w:val="nil"/>
          <w:between w:val="nil"/>
        </w:pBdr>
        <w:spacing w:before="120" w:after="120" w:line="276" w:lineRule="auto"/>
        <w:jc w:val="both"/>
        <w:rPr>
          <w:rFonts w:cs="Arial"/>
          <w:color w:val="000000"/>
          <w:szCs w:val="20"/>
        </w:rPr>
      </w:pPr>
      <w:r>
        <w:rPr>
          <w:rFonts w:eastAsia="Arial" w:cs="Arial"/>
          <w:color w:val="000000"/>
          <w:szCs w:val="20"/>
        </w:rPr>
        <w:t>As regras acerca do pagamento são as estabelecidas no Termo de Referência, anexo a este Edital.</w:t>
      </w:r>
    </w:p>
    <w:p w:rsidR="00EF71EB" w:rsidRDefault="00EF71EB" w:rsidP="009D75B9">
      <w:pPr>
        <w:keepNext/>
        <w:keepLines/>
        <w:numPr>
          <w:ilvl w:val="0"/>
          <w:numId w:val="12"/>
        </w:numPr>
        <w:pBdr>
          <w:top w:val="nil"/>
          <w:left w:val="nil"/>
          <w:bottom w:val="nil"/>
          <w:right w:val="nil"/>
          <w:between w:val="nil"/>
        </w:pBdr>
        <w:spacing w:before="480" w:after="120" w:line="276" w:lineRule="auto"/>
        <w:ind w:right="-15"/>
        <w:jc w:val="both"/>
        <w:rPr>
          <w:rFonts w:cs="Arial"/>
          <w:b/>
          <w:color w:val="000000"/>
          <w:szCs w:val="20"/>
        </w:rPr>
      </w:pPr>
      <w:r>
        <w:rPr>
          <w:rFonts w:eastAsia="Arial" w:cs="Arial"/>
          <w:b/>
          <w:color w:val="000000"/>
          <w:szCs w:val="20"/>
        </w:rPr>
        <w:t>DO PAGAMENTO PELO FATO GERADOR</w:t>
      </w:r>
    </w:p>
    <w:p w:rsidR="00EF71EB" w:rsidRDefault="00EF71EB" w:rsidP="009D75B9">
      <w:pPr>
        <w:numPr>
          <w:ilvl w:val="1"/>
          <w:numId w:val="8"/>
        </w:numPr>
        <w:spacing w:before="120" w:after="120" w:line="276" w:lineRule="auto"/>
        <w:jc w:val="both"/>
        <w:rPr>
          <w:highlight w:val="white"/>
        </w:rPr>
      </w:pPr>
      <w:r>
        <w:t>Para atendimento ao disposto no art. 18</w:t>
      </w:r>
      <w:r>
        <w:rPr>
          <w:highlight w:val="white"/>
        </w:rPr>
        <w:t xml:space="preserve"> da IN SEGES/MP N. 5/2017, as regras acerca do Pagamento pelo Fato Gerador a que se refere o Anexo VII-B da IN SEGES/MP n. </w:t>
      </w:r>
      <w:r>
        <w:rPr>
          <w:highlight w:val="white"/>
        </w:rPr>
        <w:lastRenderedPageBreak/>
        <w:t xml:space="preserve">5/2017 são as estabelecidas </w:t>
      </w:r>
      <w:r>
        <w:t xml:space="preserve">no Termo de Referência, anexo a este Edital, observado </w:t>
      </w:r>
      <w:r>
        <w:rPr>
          <w:highlight w:val="white"/>
        </w:rPr>
        <w:t>o disposto no respectivo Caderno de Logística, elaborado pela SEGES/MP.</w:t>
      </w:r>
    </w:p>
    <w:p w:rsidR="00EF71EB" w:rsidRDefault="00EF71EB" w:rsidP="009D75B9">
      <w:pPr>
        <w:keepNext/>
        <w:keepLines/>
        <w:numPr>
          <w:ilvl w:val="0"/>
          <w:numId w:val="8"/>
        </w:numPr>
        <w:pBdr>
          <w:top w:val="nil"/>
          <w:left w:val="nil"/>
          <w:bottom w:val="nil"/>
          <w:right w:val="nil"/>
          <w:between w:val="nil"/>
        </w:pBdr>
        <w:spacing w:before="480" w:after="120" w:line="276" w:lineRule="auto"/>
        <w:ind w:right="-15"/>
        <w:jc w:val="both"/>
        <w:rPr>
          <w:rFonts w:cs="Arial"/>
          <w:b/>
          <w:color w:val="000000"/>
          <w:szCs w:val="20"/>
        </w:rPr>
      </w:pPr>
      <w:r>
        <w:rPr>
          <w:rFonts w:eastAsia="Arial" w:cs="Arial"/>
          <w:b/>
          <w:color w:val="000000"/>
          <w:szCs w:val="20"/>
        </w:rPr>
        <w:t>DAS SANÇÕES ADMINISTRATIVAS</w:t>
      </w:r>
    </w:p>
    <w:p w:rsidR="00EF71EB" w:rsidRDefault="00EF71EB" w:rsidP="009D75B9">
      <w:pPr>
        <w:numPr>
          <w:ilvl w:val="1"/>
          <w:numId w:val="8"/>
        </w:numPr>
        <w:spacing w:before="120" w:after="120" w:line="276" w:lineRule="auto"/>
        <w:ind w:left="425" w:firstLine="0"/>
        <w:jc w:val="both"/>
        <w:rPr>
          <w:color w:val="000000"/>
        </w:rPr>
      </w:pPr>
      <w:r>
        <w:rPr>
          <w:color w:val="000000"/>
        </w:rPr>
        <w:t xml:space="preserve">Comete infração administrativa, nos termos da Lei nº 10.520, de 2002, o licitante/adjudicatário que: </w:t>
      </w:r>
    </w:p>
    <w:p w:rsidR="00EF71EB" w:rsidRDefault="00EF71EB" w:rsidP="009D75B9">
      <w:pPr>
        <w:numPr>
          <w:ilvl w:val="2"/>
          <w:numId w:val="8"/>
        </w:numPr>
        <w:spacing w:before="120" w:after="120" w:line="276" w:lineRule="auto"/>
        <w:jc w:val="both"/>
        <w:rPr>
          <w:color w:val="000000"/>
        </w:rPr>
      </w:pPr>
      <w:r>
        <w:rPr>
          <w:color w:val="000000"/>
        </w:rPr>
        <w:t>não assinar o termo de contrato ou aceitar/retirar o instrumento equivalente, quando convocado dentro do prazo de validade da proposta;</w:t>
      </w:r>
    </w:p>
    <w:p w:rsidR="00EF71EB" w:rsidRDefault="00EF71EB" w:rsidP="009D75B9">
      <w:pPr>
        <w:numPr>
          <w:ilvl w:val="2"/>
          <w:numId w:val="8"/>
        </w:numPr>
        <w:spacing w:before="120" w:after="120" w:line="276" w:lineRule="auto"/>
        <w:jc w:val="both"/>
        <w:rPr>
          <w:color w:val="000000"/>
        </w:rPr>
      </w:pPr>
      <w:r>
        <w:rPr>
          <w:color w:val="000000"/>
        </w:rPr>
        <w:t>não assinar a ata de registro de preços, quando cabível;</w:t>
      </w:r>
    </w:p>
    <w:p w:rsidR="00EF71EB" w:rsidRDefault="00EF71EB" w:rsidP="009D75B9">
      <w:pPr>
        <w:numPr>
          <w:ilvl w:val="2"/>
          <w:numId w:val="8"/>
        </w:numPr>
        <w:spacing w:before="120" w:after="120" w:line="276" w:lineRule="auto"/>
        <w:jc w:val="both"/>
        <w:rPr>
          <w:color w:val="000000"/>
        </w:rPr>
      </w:pPr>
      <w:r>
        <w:rPr>
          <w:color w:val="000000"/>
        </w:rPr>
        <w:t>apresentar documentação falsa;</w:t>
      </w:r>
    </w:p>
    <w:p w:rsidR="00EF71EB" w:rsidRDefault="00EF71EB" w:rsidP="009D75B9">
      <w:pPr>
        <w:numPr>
          <w:ilvl w:val="2"/>
          <w:numId w:val="8"/>
        </w:numPr>
        <w:spacing w:before="120" w:after="120" w:line="276" w:lineRule="auto"/>
        <w:jc w:val="both"/>
        <w:rPr>
          <w:color w:val="000000"/>
        </w:rPr>
      </w:pPr>
      <w:r>
        <w:rPr>
          <w:color w:val="000000"/>
        </w:rPr>
        <w:t>deixar de entregar os documentos exigidos no certame;</w:t>
      </w:r>
    </w:p>
    <w:p w:rsidR="00EF71EB" w:rsidRDefault="00EF71EB" w:rsidP="009D75B9">
      <w:pPr>
        <w:numPr>
          <w:ilvl w:val="2"/>
          <w:numId w:val="8"/>
        </w:numPr>
        <w:spacing w:before="120" w:after="120" w:line="276" w:lineRule="auto"/>
        <w:jc w:val="both"/>
        <w:rPr>
          <w:color w:val="000000"/>
        </w:rPr>
      </w:pPr>
      <w:r>
        <w:rPr>
          <w:color w:val="000000"/>
        </w:rPr>
        <w:t>ensejar o retardamento da execução do objeto;</w:t>
      </w:r>
    </w:p>
    <w:p w:rsidR="00EF71EB" w:rsidRDefault="00EF71EB" w:rsidP="009D75B9">
      <w:pPr>
        <w:numPr>
          <w:ilvl w:val="2"/>
          <w:numId w:val="8"/>
        </w:numPr>
        <w:spacing w:before="120" w:after="120" w:line="276" w:lineRule="auto"/>
        <w:jc w:val="both"/>
        <w:rPr>
          <w:color w:val="000000"/>
        </w:rPr>
      </w:pPr>
      <w:r>
        <w:rPr>
          <w:color w:val="000000"/>
        </w:rPr>
        <w:t>não mantiver a proposta;</w:t>
      </w:r>
    </w:p>
    <w:p w:rsidR="00EF71EB" w:rsidRDefault="00EF71EB" w:rsidP="009D75B9">
      <w:pPr>
        <w:numPr>
          <w:ilvl w:val="2"/>
          <w:numId w:val="8"/>
        </w:numPr>
        <w:spacing w:before="120" w:after="120" w:line="276" w:lineRule="auto"/>
        <w:jc w:val="both"/>
        <w:rPr>
          <w:color w:val="000000"/>
        </w:rPr>
      </w:pPr>
      <w:r>
        <w:rPr>
          <w:color w:val="000000"/>
        </w:rPr>
        <w:t>cometer fraude fiscal;</w:t>
      </w:r>
    </w:p>
    <w:p w:rsidR="00EF71EB" w:rsidRDefault="00EF71EB" w:rsidP="009D75B9">
      <w:pPr>
        <w:numPr>
          <w:ilvl w:val="2"/>
          <w:numId w:val="8"/>
        </w:numPr>
        <w:spacing w:before="120" w:after="120" w:line="276" w:lineRule="auto"/>
        <w:jc w:val="both"/>
        <w:rPr>
          <w:color w:val="000000"/>
        </w:rPr>
      </w:pPr>
      <w:r>
        <w:rPr>
          <w:color w:val="000000"/>
        </w:rPr>
        <w:t>comportar-se de modo inidôneo;</w:t>
      </w:r>
    </w:p>
    <w:p w:rsidR="00EF71EB" w:rsidRDefault="00EF71EB" w:rsidP="009D75B9">
      <w:pPr>
        <w:numPr>
          <w:ilvl w:val="1"/>
          <w:numId w:val="8"/>
        </w:numPr>
        <w:spacing w:before="120" w:after="120" w:line="276" w:lineRule="auto"/>
        <w:ind w:left="425" w:firstLine="0"/>
        <w:jc w:val="both"/>
        <w:rPr>
          <w:color w:val="000000"/>
        </w:rPr>
      </w:pPr>
      <w:r>
        <w:rPr>
          <w:color w:val="000000"/>
        </w:rPr>
        <w:t xml:space="preserve">As sanções do item acima também se aplicam aos integrantes do cadastro de reserva, em pregão para registro de preços, que, convocados, não honrarem o compromisso assumido injustificadamente. </w:t>
      </w:r>
    </w:p>
    <w:p w:rsidR="00EF71EB" w:rsidRDefault="00EF71EB" w:rsidP="009D75B9">
      <w:pPr>
        <w:numPr>
          <w:ilvl w:val="1"/>
          <w:numId w:val="8"/>
        </w:numPr>
        <w:spacing w:before="120" w:after="120" w:line="276" w:lineRule="auto"/>
        <w:ind w:left="425" w:firstLine="0"/>
        <w:jc w:val="both"/>
        <w:rPr>
          <w:color w:val="000000"/>
        </w:rPr>
      </w:pPr>
      <w:r>
        <w:rPr>
          <w:color w:val="000000"/>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EF71EB" w:rsidRDefault="00EF71EB" w:rsidP="009D75B9">
      <w:pPr>
        <w:numPr>
          <w:ilvl w:val="1"/>
          <w:numId w:val="8"/>
        </w:numPr>
        <w:spacing w:before="120" w:after="120" w:line="276" w:lineRule="auto"/>
        <w:ind w:left="425" w:firstLine="0"/>
        <w:jc w:val="both"/>
        <w:rPr>
          <w:color w:val="000000"/>
        </w:rPr>
      </w:pPr>
      <w:r>
        <w:rPr>
          <w:color w:val="000000"/>
        </w:rPr>
        <w:t>O licitante/adjudicatário que cometer qualquer das infrações discriminadas nos subitens anteriores ficará sujeito, sem prejuízo da responsabilidade civil e criminal, às seguintes sanções:</w:t>
      </w:r>
    </w:p>
    <w:p w:rsidR="00EF71EB" w:rsidRDefault="00EF71EB" w:rsidP="009D75B9">
      <w:pPr>
        <w:numPr>
          <w:ilvl w:val="2"/>
          <w:numId w:val="8"/>
        </w:numPr>
        <w:spacing w:before="120" w:after="120" w:line="276" w:lineRule="auto"/>
        <w:jc w:val="both"/>
        <w:rPr>
          <w:color w:val="000000"/>
        </w:rPr>
      </w:pPr>
      <w:r>
        <w:rPr>
          <w:color w:val="000000"/>
        </w:rPr>
        <w:t>Advertência por faltas leves, assim entendidas como aquelas que não acarretarem prejuízos significativos ao objeto da contratação;</w:t>
      </w:r>
    </w:p>
    <w:p w:rsidR="00EF71EB" w:rsidRDefault="00EF71EB" w:rsidP="009D75B9">
      <w:pPr>
        <w:numPr>
          <w:ilvl w:val="2"/>
          <w:numId w:val="8"/>
        </w:numPr>
        <w:spacing w:before="120" w:after="120" w:line="276" w:lineRule="auto"/>
        <w:jc w:val="both"/>
        <w:rPr>
          <w:color w:val="000000"/>
        </w:rPr>
      </w:pPr>
      <w:r>
        <w:rPr>
          <w:color w:val="000000"/>
        </w:rPr>
        <w:t xml:space="preserve">Multa de </w:t>
      </w:r>
      <w:r>
        <w:t>10</w:t>
      </w:r>
      <w:r>
        <w:rPr>
          <w:color w:val="000000"/>
        </w:rPr>
        <w:t xml:space="preserve">% </w:t>
      </w:r>
      <w:r>
        <w:t>(dez</w:t>
      </w:r>
      <w:r>
        <w:rPr>
          <w:color w:val="000000"/>
        </w:rPr>
        <w:t xml:space="preserve"> por cento) sobre o valor estimado do(s) item(s) prejudicado(s) pela conduta do licitante;</w:t>
      </w:r>
    </w:p>
    <w:p w:rsidR="00EF71EB" w:rsidRDefault="00EF71EB" w:rsidP="009D75B9">
      <w:pPr>
        <w:numPr>
          <w:ilvl w:val="2"/>
          <w:numId w:val="8"/>
        </w:numPr>
        <w:pBdr>
          <w:top w:val="nil"/>
          <w:left w:val="nil"/>
          <w:bottom w:val="nil"/>
          <w:right w:val="nil"/>
          <w:between w:val="nil"/>
        </w:pBdr>
        <w:spacing w:before="120" w:after="120" w:line="276" w:lineRule="auto"/>
        <w:ind w:right="-30"/>
        <w:jc w:val="both"/>
        <w:rPr>
          <w:rFonts w:cs="Arial"/>
          <w:color w:val="000000"/>
          <w:szCs w:val="20"/>
        </w:rPr>
      </w:pPr>
      <w:r>
        <w:rPr>
          <w:rFonts w:eastAsia="Arial" w:cs="Arial"/>
          <w:color w:val="000000"/>
          <w:szCs w:val="20"/>
        </w:rPr>
        <w:t>Suspensão de licitar e impedimento de contratar com o órgão, entidade ou unidade administrativa pela qual a Administração Pública opera e atua concretamente, pelo prazo de até dois anos;</w:t>
      </w:r>
    </w:p>
    <w:p w:rsidR="00EF71EB" w:rsidRDefault="00EF71EB" w:rsidP="009D75B9">
      <w:pPr>
        <w:numPr>
          <w:ilvl w:val="2"/>
          <w:numId w:val="8"/>
        </w:numPr>
        <w:spacing w:before="120" w:after="120" w:line="276" w:lineRule="auto"/>
        <w:jc w:val="both"/>
        <w:rPr>
          <w:color w:val="000000"/>
        </w:rPr>
      </w:pPr>
      <w:r>
        <w:rPr>
          <w:color w:val="000000"/>
        </w:rPr>
        <w:t>Impedimento de licitar e de contratar com a União e descredenciamento no SICAF, pelo prazo de até cinco anos;</w:t>
      </w:r>
    </w:p>
    <w:p w:rsidR="00EF71EB" w:rsidRDefault="00EF71EB" w:rsidP="009D75B9">
      <w:pPr>
        <w:numPr>
          <w:ilvl w:val="2"/>
          <w:numId w:val="8"/>
        </w:numPr>
        <w:spacing w:before="120" w:after="120" w:line="276" w:lineRule="auto"/>
        <w:jc w:val="both"/>
        <w:rPr>
          <w:color w:val="000000"/>
        </w:rPr>
      </w:pPr>
      <w:r>
        <w:t xml:space="preserve">Declaração de inidoneidade para licitar ou contratar com a Administração Pública, enquanto perdurarem os motivos determinantes da punição ou até que seja promovida a reabilitação perante a própria autoridade que aplicou a penalidade, que </w:t>
      </w:r>
      <w:r>
        <w:lastRenderedPageBreak/>
        <w:t>será concedida sempre que a Contratada ressarcir a Contratante pelos prejuízos causados;</w:t>
      </w:r>
    </w:p>
    <w:p w:rsidR="00EF71EB" w:rsidRDefault="00EF71EB" w:rsidP="009D75B9">
      <w:pPr>
        <w:numPr>
          <w:ilvl w:val="1"/>
          <w:numId w:val="8"/>
        </w:numPr>
        <w:spacing w:before="120" w:after="120" w:line="276" w:lineRule="auto"/>
        <w:ind w:left="425" w:firstLine="0"/>
        <w:jc w:val="both"/>
        <w:rPr>
          <w:color w:val="000000"/>
        </w:rPr>
      </w:pPr>
      <w:r>
        <w:rPr>
          <w:color w:val="000000"/>
        </w:rPr>
        <w:t>A penalidade de multa pode ser aplicada cumulativamente com as demais sanções.</w:t>
      </w:r>
    </w:p>
    <w:p w:rsidR="00EF71EB" w:rsidRDefault="00EF71EB" w:rsidP="009D75B9">
      <w:pPr>
        <w:numPr>
          <w:ilvl w:val="1"/>
          <w:numId w:val="8"/>
        </w:numPr>
        <w:spacing w:before="120" w:after="120" w:line="276" w:lineRule="auto"/>
        <w:ind w:left="425" w:firstLine="0"/>
        <w:jc w:val="both"/>
        <w:rPr>
          <w:color w:val="000000"/>
        </w:rPr>
      </w:pPr>
      <w:r>
        <w:rPr>
          <w:color w:val="000000"/>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EF71EB" w:rsidRDefault="00EF71EB" w:rsidP="009D75B9">
      <w:pPr>
        <w:numPr>
          <w:ilvl w:val="1"/>
          <w:numId w:val="8"/>
        </w:numPr>
        <w:spacing w:before="120" w:after="120" w:line="276" w:lineRule="auto"/>
        <w:ind w:left="425" w:firstLine="0"/>
        <w:jc w:val="both"/>
        <w:rPr>
          <w:color w:val="000000"/>
        </w:rPr>
      </w:pPr>
      <w:r>
        <w:rPr>
          <w:color w:val="000000"/>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EF71EB" w:rsidRDefault="00EF71EB" w:rsidP="009D75B9">
      <w:pPr>
        <w:numPr>
          <w:ilvl w:val="1"/>
          <w:numId w:val="8"/>
        </w:numPr>
        <w:spacing w:before="120" w:after="120" w:line="276" w:lineRule="auto"/>
        <w:ind w:left="425" w:firstLine="0"/>
        <w:jc w:val="both"/>
        <w:rPr>
          <w:color w:val="000000"/>
        </w:rPr>
      </w:pPr>
      <w:r>
        <w:rPr>
          <w:color w:val="000000"/>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EF71EB" w:rsidRDefault="00EF71EB" w:rsidP="009D75B9">
      <w:pPr>
        <w:numPr>
          <w:ilvl w:val="1"/>
          <w:numId w:val="8"/>
        </w:numPr>
        <w:spacing w:before="120" w:after="120" w:line="276" w:lineRule="auto"/>
        <w:ind w:left="425" w:firstLine="0"/>
        <w:jc w:val="both"/>
        <w:rPr>
          <w:color w:val="000000"/>
        </w:rPr>
      </w:pPr>
      <w:r>
        <w:rPr>
          <w:color w:val="000000"/>
        </w:rPr>
        <w:t>Caso o valor da multa não seja suficiente para cobrir os prejuízos causados pela conduta do licitante, a União ou Entidade poderá cobrar o valor remanescente judicialmente, conforme artigo 419 do Código Civil.</w:t>
      </w:r>
    </w:p>
    <w:p w:rsidR="00EF71EB" w:rsidRDefault="00EF71EB" w:rsidP="009D75B9">
      <w:pPr>
        <w:numPr>
          <w:ilvl w:val="1"/>
          <w:numId w:val="8"/>
        </w:numPr>
        <w:spacing w:before="120" w:after="120" w:line="276" w:lineRule="auto"/>
        <w:ind w:left="425" w:firstLine="0"/>
        <w:jc w:val="both"/>
        <w:rPr>
          <w:color w:val="000000"/>
        </w:rPr>
      </w:pPr>
      <w:r>
        <w:rPr>
          <w:color w:val="00000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EF71EB" w:rsidRDefault="00EF71EB" w:rsidP="009D75B9">
      <w:pPr>
        <w:numPr>
          <w:ilvl w:val="1"/>
          <w:numId w:val="8"/>
        </w:numPr>
        <w:spacing w:before="120" w:after="120" w:line="276" w:lineRule="auto"/>
        <w:ind w:left="425" w:firstLine="0"/>
        <w:jc w:val="both"/>
        <w:rPr>
          <w:color w:val="000000"/>
        </w:rPr>
      </w:pPr>
      <w:r>
        <w:rPr>
          <w:color w:val="000000"/>
        </w:rPr>
        <w:t>A autoridade competente, na aplicação das sanções, levará em consideração a gravidade da conduta do infrator, o caráter educativo da pena, bem como o dano causado à Administração, observado o princípio da proporcionalidade.</w:t>
      </w:r>
    </w:p>
    <w:p w:rsidR="00EF71EB" w:rsidRDefault="00EF71EB" w:rsidP="009D75B9">
      <w:pPr>
        <w:numPr>
          <w:ilvl w:val="1"/>
          <w:numId w:val="8"/>
        </w:numPr>
        <w:spacing w:before="120" w:after="120" w:line="276" w:lineRule="auto"/>
        <w:ind w:left="425" w:firstLine="0"/>
        <w:jc w:val="both"/>
        <w:rPr>
          <w:color w:val="000000"/>
        </w:rPr>
      </w:pPr>
      <w:r>
        <w:rPr>
          <w:color w:val="000000"/>
        </w:rPr>
        <w:t>As penalidades serão obrigatoriamente registradas no SICAF.</w:t>
      </w:r>
    </w:p>
    <w:p w:rsidR="00EF71EB" w:rsidRDefault="00EF71EB" w:rsidP="009D75B9">
      <w:pPr>
        <w:numPr>
          <w:ilvl w:val="1"/>
          <w:numId w:val="8"/>
        </w:numPr>
        <w:spacing w:before="120" w:after="120" w:line="276" w:lineRule="auto"/>
        <w:ind w:left="425" w:firstLine="0"/>
        <w:jc w:val="both"/>
        <w:rPr>
          <w:color w:val="000000"/>
        </w:rPr>
      </w:pPr>
      <w:r>
        <w:rPr>
          <w:color w:val="000000"/>
        </w:rPr>
        <w:t>As sanções por atos praticados no decorrer da contratação estão previstas no Termo de Referência.</w:t>
      </w:r>
    </w:p>
    <w:p w:rsidR="00EF71EB" w:rsidRDefault="00EF71EB" w:rsidP="009D75B9">
      <w:pPr>
        <w:keepNext/>
        <w:keepLines/>
        <w:numPr>
          <w:ilvl w:val="0"/>
          <w:numId w:val="8"/>
        </w:numPr>
        <w:pBdr>
          <w:top w:val="nil"/>
          <w:left w:val="nil"/>
          <w:bottom w:val="nil"/>
          <w:right w:val="nil"/>
          <w:between w:val="nil"/>
        </w:pBdr>
        <w:spacing w:before="480" w:after="120" w:line="276" w:lineRule="auto"/>
        <w:ind w:right="-15"/>
        <w:jc w:val="both"/>
        <w:rPr>
          <w:rFonts w:cs="Arial"/>
          <w:b/>
          <w:color w:val="000000"/>
          <w:szCs w:val="20"/>
        </w:rPr>
      </w:pPr>
      <w:r>
        <w:rPr>
          <w:rFonts w:eastAsia="Arial" w:cs="Arial"/>
          <w:b/>
          <w:color w:val="000000"/>
          <w:szCs w:val="20"/>
        </w:rPr>
        <w:t>DA IMPUGNAÇÃO AO EDITAL E DO PEDIDO DE ESCLARECIMENTO</w:t>
      </w:r>
    </w:p>
    <w:p w:rsidR="00EF71EB" w:rsidRDefault="00EF71EB" w:rsidP="009D75B9">
      <w:pPr>
        <w:numPr>
          <w:ilvl w:val="1"/>
          <w:numId w:val="8"/>
        </w:numPr>
        <w:spacing w:before="120" w:after="120" w:line="276" w:lineRule="auto"/>
        <w:ind w:left="425" w:firstLine="0"/>
        <w:jc w:val="both"/>
        <w:rPr>
          <w:color w:val="000000"/>
        </w:rPr>
      </w:pPr>
      <w:r>
        <w:t xml:space="preserve">Até </w:t>
      </w:r>
      <w:r>
        <w:rPr>
          <w:color w:val="000000"/>
        </w:rPr>
        <w:t>03 (três) dias úteis antes da data designada para a abertura da sessão pública, qualquer pessoa poderá impugnar este Edital.</w:t>
      </w:r>
    </w:p>
    <w:p w:rsidR="00EF71EB" w:rsidRDefault="00EF71EB" w:rsidP="009D75B9">
      <w:pPr>
        <w:numPr>
          <w:ilvl w:val="1"/>
          <w:numId w:val="8"/>
        </w:numPr>
        <w:spacing w:before="120" w:after="120" w:line="276" w:lineRule="auto"/>
        <w:ind w:left="425" w:firstLine="0"/>
        <w:jc w:val="both"/>
        <w:rPr>
          <w:i/>
          <w:color w:val="000000"/>
        </w:rPr>
      </w:pPr>
      <w:r>
        <w:rPr>
          <w:color w:val="000000"/>
        </w:rPr>
        <w:t xml:space="preserve">A impugnação poderá ser realizada por forma eletrônica, pelo e-mail licitação.jpa@ifpb.edu.br, ou por petição dirigida ou protocolada Coordenação de Compras e Licitações no endereço Avenida 1º de </w:t>
      </w:r>
      <w:r>
        <w:t>Maio,</w:t>
      </w:r>
      <w:r>
        <w:rPr>
          <w:color w:val="000000"/>
        </w:rPr>
        <w:t xml:space="preserve"> 720, Jaguaribe, João Pessoa/PB.</w:t>
      </w:r>
    </w:p>
    <w:p w:rsidR="00EF71EB" w:rsidRDefault="00EF71EB" w:rsidP="009D75B9">
      <w:pPr>
        <w:numPr>
          <w:ilvl w:val="1"/>
          <w:numId w:val="8"/>
        </w:numPr>
        <w:spacing w:before="120" w:after="120" w:line="276" w:lineRule="auto"/>
        <w:ind w:left="425" w:firstLine="0"/>
        <w:jc w:val="both"/>
        <w:rPr>
          <w:color w:val="000000"/>
        </w:rPr>
      </w:pPr>
      <w:r>
        <w:rPr>
          <w:color w:val="000000"/>
        </w:rPr>
        <w:t xml:space="preserve">Caberá ao </w:t>
      </w:r>
      <w:r>
        <w:t>Pregoeiro</w:t>
      </w:r>
      <w:r>
        <w:rPr>
          <w:color w:val="000000"/>
        </w:rPr>
        <w:t>, auxiliado pelos responsáveis pela elaboração deste Edital e seus anexos, decidir sobre a impugnação no prazo de até 2 (dois) dias úteis contados da data de recebimento da impugnação.</w:t>
      </w:r>
    </w:p>
    <w:p w:rsidR="00EF71EB" w:rsidRDefault="00EF71EB" w:rsidP="009D75B9">
      <w:pPr>
        <w:numPr>
          <w:ilvl w:val="1"/>
          <w:numId w:val="8"/>
        </w:numPr>
        <w:spacing w:before="120" w:after="120" w:line="276" w:lineRule="auto"/>
        <w:ind w:left="425" w:firstLine="0"/>
        <w:jc w:val="both"/>
        <w:rPr>
          <w:color w:val="000000"/>
        </w:rPr>
      </w:pPr>
      <w:r>
        <w:rPr>
          <w:color w:val="000000"/>
        </w:rPr>
        <w:lastRenderedPageBreak/>
        <w:t>Acolhida a impugnação, será definida e publicada nova data para a realização do certame.</w:t>
      </w:r>
    </w:p>
    <w:p w:rsidR="00EF71EB" w:rsidRDefault="00EF71EB" w:rsidP="009D75B9">
      <w:pPr>
        <w:numPr>
          <w:ilvl w:val="1"/>
          <w:numId w:val="8"/>
        </w:numPr>
        <w:spacing w:before="120" w:after="120" w:line="276" w:lineRule="auto"/>
        <w:ind w:left="425" w:firstLine="0"/>
        <w:jc w:val="both"/>
        <w:rPr>
          <w:color w:val="000000"/>
        </w:rPr>
      </w:pPr>
      <w:r>
        <w:rPr>
          <w:color w:val="000000"/>
        </w:rPr>
        <w:t>Os pedidos de esclarecimentos referentes a este processo licitatório deverão ser enviados ao Pregoeiro, até 03 (três) dias úteis anteriores à data designada para abertura da sessão pública, exclusivamente por meio eletrônico via internet, no endereço indicado no Edital.</w:t>
      </w:r>
    </w:p>
    <w:p w:rsidR="00EF71EB" w:rsidRDefault="00EF71EB" w:rsidP="009D75B9">
      <w:pPr>
        <w:numPr>
          <w:ilvl w:val="1"/>
          <w:numId w:val="8"/>
        </w:numPr>
        <w:spacing w:before="120" w:after="120" w:line="276" w:lineRule="auto"/>
        <w:ind w:left="425" w:firstLine="0"/>
        <w:jc w:val="both"/>
        <w:rPr>
          <w:color w:val="000000"/>
        </w:rPr>
      </w:pPr>
      <w:r>
        <w:rPr>
          <w:color w:val="000000"/>
        </w:rPr>
        <w:t>O Pregoeiro responderá aos pedidos de esclarecimentos no prazo de 2 (dois) dias úteis, contado da data de recebimento do pedido, e poderá requisitar subsídios formais aos responsáveis pela elaboração do Edital e dos anexos.</w:t>
      </w:r>
    </w:p>
    <w:p w:rsidR="00EF71EB" w:rsidRDefault="00EF71EB" w:rsidP="009D75B9">
      <w:pPr>
        <w:numPr>
          <w:ilvl w:val="1"/>
          <w:numId w:val="8"/>
        </w:numPr>
        <w:spacing w:before="120" w:after="120" w:line="276" w:lineRule="auto"/>
        <w:ind w:left="425" w:firstLine="0"/>
        <w:jc w:val="both"/>
        <w:rPr>
          <w:color w:val="000000"/>
        </w:rPr>
      </w:pPr>
      <w:r>
        <w:rPr>
          <w:color w:val="000000"/>
        </w:rPr>
        <w:t>As impugnações e pedidos de esclarecimentos não suspendem os prazos previstos no certame.</w:t>
      </w:r>
    </w:p>
    <w:p w:rsidR="00EF71EB" w:rsidRDefault="00EF71EB" w:rsidP="009D75B9">
      <w:pPr>
        <w:numPr>
          <w:ilvl w:val="2"/>
          <w:numId w:val="8"/>
        </w:numPr>
        <w:spacing w:before="120" w:after="120" w:line="276" w:lineRule="auto"/>
        <w:jc w:val="both"/>
        <w:rPr>
          <w:color w:val="000000"/>
        </w:rPr>
      </w:pPr>
      <w:r>
        <w:rPr>
          <w:color w:val="000000"/>
        </w:rPr>
        <w:t>A concessão de efeito suspensivo à impugnação é medida excepcional e deverá ser motivada pelo pregoeiro, nos autos do processo de licitação.</w:t>
      </w:r>
    </w:p>
    <w:p w:rsidR="00EF71EB" w:rsidRDefault="00EF71EB" w:rsidP="009D75B9">
      <w:pPr>
        <w:numPr>
          <w:ilvl w:val="1"/>
          <w:numId w:val="8"/>
        </w:numPr>
        <w:spacing w:before="120" w:after="120" w:line="276" w:lineRule="auto"/>
        <w:jc w:val="both"/>
        <w:rPr>
          <w:color w:val="000000"/>
        </w:rPr>
      </w:pPr>
      <w:r>
        <w:rPr>
          <w:color w:val="000000"/>
        </w:rPr>
        <w:t>As respostas aos pedidos de esclarecimentos serão divulgadas pelo sistema e vincularão os participantes e a Administração.</w:t>
      </w:r>
    </w:p>
    <w:p w:rsidR="00EF71EB" w:rsidRDefault="00EF71EB" w:rsidP="009D75B9">
      <w:pPr>
        <w:keepNext/>
        <w:keepLines/>
        <w:numPr>
          <w:ilvl w:val="0"/>
          <w:numId w:val="8"/>
        </w:numPr>
        <w:pBdr>
          <w:top w:val="nil"/>
          <w:left w:val="nil"/>
          <w:bottom w:val="nil"/>
          <w:right w:val="nil"/>
          <w:between w:val="nil"/>
        </w:pBdr>
        <w:spacing w:before="480" w:after="120" w:line="276" w:lineRule="auto"/>
        <w:ind w:right="-15"/>
        <w:jc w:val="both"/>
        <w:rPr>
          <w:rFonts w:cs="Arial"/>
          <w:b/>
          <w:color w:val="000000"/>
          <w:szCs w:val="20"/>
        </w:rPr>
      </w:pPr>
      <w:r>
        <w:rPr>
          <w:rFonts w:eastAsia="Arial" w:cs="Arial"/>
          <w:b/>
          <w:color w:val="000000"/>
          <w:szCs w:val="20"/>
        </w:rPr>
        <w:t>DAS DISPOSIÇÕES GERAIS</w:t>
      </w:r>
    </w:p>
    <w:p w:rsidR="00EF71EB" w:rsidRDefault="00EF71EB" w:rsidP="009D75B9">
      <w:pPr>
        <w:numPr>
          <w:ilvl w:val="1"/>
          <w:numId w:val="8"/>
        </w:numPr>
        <w:spacing w:before="120" w:after="120" w:line="276" w:lineRule="auto"/>
        <w:ind w:left="425" w:firstLine="0"/>
        <w:jc w:val="both"/>
        <w:rPr>
          <w:color w:val="000000"/>
        </w:rPr>
      </w:pPr>
      <w:r>
        <w:rPr>
          <w:color w:val="000000"/>
        </w:rPr>
        <w:t>Da sessão pública do Pregão divulgar-se-á Ata no sistema eletrônico.</w:t>
      </w:r>
    </w:p>
    <w:p w:rsidR="00EF71EB" w:rsidRDefault="00EF71EB" w:rsidP="009D75B9">
      <w:pPr>
        <w:numPr>
          <w:ilvl w:val="1"/>
          <w:numId w:val="8"/>
        </w:numPr>
        <w:spacing w:before="120" w:after="120" w:line="276" w:lineRule="auto"/>
        <w:ind w:left="425" w:firstLine="0"/>
        <w:jc w:val="both"/>
        <w:rPr>
          <w:color w:val="000000"/>
        </w:rPr>
      </w:pPr>
      <w:r>
        <w:rPr>
          <w:color w:val="00000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EF71EB" w:rsidRDefault="00EF71EB" w:rsidP="009D75B9">
      <w:pPr>
        <w:numPr>
          <w:ilvl w:val="1"/>
          <w:numId w:val="8"/>
        </w:numPr>
        <w:spacing w:before="120" w:after="120" w:line="276" w:lineRule="auto"/>
        <w:ind w:left="425" w:firstLine="0"/>
        <w:jc w:val="both"/>
        <w:rPr>
          <w:color w:val="000000"/>
        </w:rPr>
      </w:pPr>
      <w:r>
        <w:rPr>
          <w:color w:val="000000"/>
        </w:rPr>
        <w:t>Todas as referências de tempo no Edital, no aviso e durante a sessão pública observarão o horário de Brasília – DF.</w:t>
      </w:r>
    </w:p>
    <w:p w:rsidR="00EF71EB" w:rsidRDefault="00EF71EB" w:rsidP="009D75B9">
      <w:pPr>
        <w:numPr>
          <w:ilvl w:val="1"/>
          <w:numId w:val="8"/>
        </w:numPr>
        <w:spacing w:before="120" w:after="120" w:line="276" w:lineRule="auto"/>
        <w:ind w:left="425" w:firstLine="0"/>
        <w:jc w:val="both"/>
        <w:rPr>
          <w:color w:val="000000"/>
        </w:rPr>
      </w:pPr>
      <w:r>
        <w:rPr>
          <w:color w:val="00000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EF71EB" w:rsidRDefault="00EF71EB" w:rsidP="009D75B9">
      <w:pPr>
        <w:numPr>
          <w:ilvl w:val="1"/>
          <w:numId w:val="8"/>
        </w:numPr>
        <w:spacing w:before="120" w:after="120" w:line="276" w:lineRule="auto"/>
        <w:ind w:left="425" w:firstLine="0"/>
        <w:jc w:val="both"/>
        <w:rPr>
          <w:color w:val="000000"/>
        </w:rPr>
      </w:pPr>
      <w:r>
        <w:rPr>
          <w:color w:val="000000"/>
        </w:rPr>
        <w:t>A homologação do resultado desta licitação não implicará direito à contratação.</w:t>
      </w:r>
    </w:p>
    <w:p w:rsidR="00EF71EB" w:rsidRDefault="00EF71EB" w:rsidP="009D75B9">
      <w:pPr>
        <w:numPr>
          <w:ilvl w:val="1"/>
          <w:numId w:val="8"/>
        </w:numPr>
        <w:spacing w:before="120" w:after="120" w:line="276" w:lineRule="auto"/>
        <w:ind w:left="425" w:firstLine="0"/>
        <w:jc w:val="both"/>
        <w:rPr>
          <w:color w:val="000000"/>
        </w:rPr>
      </w:pPr>
      <w:r>
        <w:rPr>
          <w:color w:val="00000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EF71EB" w:rsidRDefault="00EF71EB" w:rsidP="009D75B9">
      <w:pPr>
        <w:numPr>
          <w:ilvl w:val="1"/>
          <w:numId w:val="8"/>
        </w:numPr>
        <w:spacing w:before="120" w:after="120" w:line="276" w:lineRule="auto"/>
        <w:ind w:left="425" w:firstLine="0"/>
        <w:jc w:val="both"/>
        <w:rPr>
          <w:color w:val="000000"/>
        </w:rPr>
      </w:pPr>
      <w:r>
        <w:rPr>
          <w:color w:val="000000"/>
        </w:rPr>
        <w:t>Os licitantes assumem todos os custos de preparação e apresentação de suas propostas e a Administração não será, em nenhum caso, responsável por esses custos, independentemente da condução ou do resultado do processo licitatório.</w:t>
      </w:r>
    </w:p>
    <w:p w:rsidR="00EF71EB" w:rsidRDefault="00EF71EB" w:rsidP="009D75B9">
      <w:pPr>
        <w:numPr>
          <w:ilvl w:val="1"/>
          <w:numId w:val="8"/>
        </w:numPr>
        <w:spacing w:before="120" w:after="120" w:line="276" w:lineRule="auto"/>
        <w:ind w:left="425" w:firstLine="0"/>
        <w:jc w:val="both"/>
        <w:rPr>
          <w:color w:val="000000"/>
        </w:rPr>
      </w:pPr>
      <w:r>
        <w:rPr>
          <w:color w:val="000000"/>
        </w:rPr>
        <w:t>Na contagem dos prazos estabelecidos neste Edital e seus Anexos, excluir-se-á o dia do início e incluir-se-á o do vencimento. Só se iniciam e vencem os prazos em dias de expediente na Administração.</w:t>
      </w:r>
    </w:p>
    <w:p w:rsidR="00EF71EB" w:rsidRDefault="00EF71EB" w:rsidP="009D75B9">
      <w:pPr>
        <w:numPr>
          <w:ilvl w:val="1"/>
          <w:numId w:val="8"/>
        </w:numPr>
        <w:spacing w:before="120" w:after="120" w:line="276" w:lineRule="auto"/>
        <w:ind w:left="425" w:firstLine="0"/>
        <w:jc w:val="both"/>
        <w:rPr>
          <w:color w:val="000000"/>
        </w:rPr>
      </w:pPr>
      <w:r>
        <w:rPr>
          <w:color w:val="000000"/>
        </w:rPr>
        <w:lastRenderedPageBreak/>
        <w:t>O desatendimento de exigências formais não essenciais não importará o afastamento do licitante, desde que seja possível o aproveitamento do ato, observados os princípios da isonomia e do interesse público.</w:t>
      </w:r>
    </w:p>
    <w:p w:rsidR="00EF71EB" w:rsidRDefault="00EF71EB" w:rsidP="009D75B9">
      <w:pPr>
        <w:numPr>
          <w:ilvl w:val="1"/>
          <w:numId w:val="8"/>
        </w:numPr>
        <w:spacing w:before="120" w:after="120" w:line="276" w:lineRule="auto"/>
        <w:ind w:left="425" w:firstLine="0"/>
        <w:jc w:val="both"/>
        <w:rPr>
          <w:color w:val="000000"/>
        </w:rPr>
      </w:pPr>
      <w:r>
        <w:rPr>
          <w:color w:val="000000"/>
        </w:rPr>
        <w:t>Em caso de divergência entre disposições deste Edital e de seus anexos ou demais peças que compõem o processo, prevalecerão as deste Edital.</w:t>
      </w:r>
    </w:p>
    <w:p w:rsidR="00EF71EB" w:rsidRDefault="00EF71EB" w:rsidP="009D75B9">
      <w:pPr>
        <w:numPr>
          <w:ilvl w:val="1"/>
          <w:numId w:val="8"/>
        </w:numPr>
        <w:spacing w:before="120" w:after="120" w:line="276" w:lineRule="auto"/>
        <w:ind w:left="425" w:firstLine="0"/>
        <w:jc w:val="both"/>
        <w:rPr>
          <w:color w:val="000000"/>
        </w:rPr>
      </w:pPr>
      <w:r>
        <w:rPr>
          <w:color w:val="000000"/>
        </w:rPr>
        <w:t xml:space="preserve">O Edital está disponibilizado, na íntegra, no endereço eletrônico </w:t>
      </w:r>
      <w:hyperlink r:id="rId17" w:history="1">
        <w:r w:rsidRPr="00EF71EB">
          <w:rPr>
            <w:rStyle w:val="Hyperlink"/>
            <w:i/>
          </w:rPr>
          <w:t>HTTPS://www.comprasgovernamentais.gov.br/</w:t>
        </w:r>
      </w:hyperlink>
      <w:r>
        <w:rPr>
          <w:color w:val="000000"/>
        </w:rPr>
        <w:t xml:space="preserve"> e também poderá ser lido e/ou obtido no endereço eletrônico </w:t>
      </w:r>
      <w:r w:rsidRPr="00EF71EB">
        <w:rPr>
          <w:i/>
          <w:color w:val="000000"/>
        </w:rPr>
        <w:t>https://www.ifpb.edu.br/joaopessoa/administracao/licitacoes/ano/2021</w:t>
      </w:r>
      <w:r>
        <w:rPr>
          <w:color w:val="000000"/>
        </w:rPr>
        <w:t>.</w:t>
      </w:r>
    </w:p>
    <w:p w:rsidR="00EF71EB" w:rsidRDefault="00EF71EB" w:rsidP="009D75B9">
      <w:pPr>
        <w:numPr>
          <w:ilvl w:val="1"/>
          <w:numId w:val="8"/>
        </w:numPr>
        <w:spacing w:before="120" w:after="120" w:line="276" w:lineRule="auto"/>
        <w:ind w:left="425" w:firstLine="0"/>
        <w:jc w:val="both"/>
        <w:rPr>
          <w:color w:val="000000"/>
        </w:rPr>
      </w:pPr>
      <w:r>
        <w:rPr>
          <w:color w:val="000000"/>
        </w:rPr>
        <w:t>Integram este Edital, para todos os fins e efeitos, os seguintes anexos:</w:t>
      </w:r>
    </w:p>
    <w:p w:rsidR="00EF71EB" w:rsidRDefault="00EF71EB" w:rsidP="009D75B9">
      <w:pPr>
        <w:numPr>
          <w:ilvl w:val="2"/>
          <w:numId w:val="8"/>
        </w:numPr>
        <w:spacing w:line="276" w:lineRule="auto"/>
        <w:jc w:val="both"/>
        <w:rPr>
          <w:color w:val="000000"/>
        </w:rPr>
      </w:pPr>
      <w:r>
        <w:rPr>
          <w:color w:val="000000"/>
        </w:rPr>
        <w:t>ANEXO I - Termo de Referência;</w:t>
      </w:r>
    </w:p>
    <w:p w:rsidR="00EF71EB" w:rsidRDefault="00EF71EB" w:rsidP="009D75B9">
      <w:pPr>
        <w:numPr>
          <w:ilvl w:val="2"/>
          <w:numId w:val="8"/>
        </w:numPr>
        <w:spacing w:line="276" w:lineRule="auto"/>
        <w:jc w:val="both"/>
        <w:rPr>
          <w:color w:val="000000"/>
        </w:rPr>
      </w:pPr>
      <w:r>
        <w:rPr>
          <w:color w:val="000000"/>
        </w:rPr>
        <w:t>ANEXO II – Minuta de Termo de Contrato;</w:t>
      </w:r>
    </w:p>
    <w:p w:rsidR="00EF71EB" w:rsidRDefault="00EF71EB" w:rsidP="009D75B9">
      <w:pPr>
        <w:numPr>
          <w:ilvl w:val="2"/>
          <w:numId w:val="8"/>
        </w:numPr>
        <w:tabs>
          <w:tab w:val="left" w:pos="1440"/>
        </w:tabs>
        <w:spacing w:line="276" w:lineRule="auto"/>
        <w:jc w:val="both"/>
        <w:rPr>
          <w:color w:val="000000"/>
        </w:rPr>
      </w:pPr>
      <w:r>
        <w:rPr>
          <w:color w:val="000000"/>
        </w:rPr>
        <w:t>ANEXO III – Termo de Conciliação Judicial firmado entre o Ministério Público do Trabalho e a União;</w:t>
      </w:r>
    </w:p>
    <w:p w:rsidR="00EF71EB" w:rsidRDefault="00EF71EB" w:rsidP="009D75B9">
      <w:pPr>
        <w:numPr>
          <w:ilvl w:val="2"/>
          <w:numId w:val="8"/>
        </w:numPr>
        <w:spacing w:line="276" w:lineRule="auto"/>
        <w:jc w:val="both"/>
        <w:rPr>
          <w:color w:val="000000"/>
        </w:rPr>
      </w:pPr>
      <w:r>
        <w:rPr>
          <w:color w:val="000000"/>
        </w:rPr>
        <w:t>ANEXO IV - Planilha de Custos e Formação de Preços;</w:t>
      </w:r>
    </w:p>
    <w:p w:rsidR="00EF71EB" w:rsidRDefault="00EF71EB" w:rsidP="009D75B9">
      <w:pPr>
        <w:widowControl w:val="0"/>
        <w:numPr>
          <w:ilvl w:val="2"/>
          <w:numId w:val="8"/>
        </w:numPr>
        <w:tabs>
          <w:tab w:val="left" w:pos="1440"/>
        </w:tabs>
        <w:spacing w:line="276" w:lineRule="auto"/>
        <w:jc w:val="both"/>
        <w:rPr>
          <w:color w:val="000000"/>
        </w:rPr>
      </w:pPr>
      <w:r>
        <w:rPr>
          <w:sz w:val="21"/>
          <w:szCs w:val="21"/>
        </w:rPr>
        <w:t xml:space="preserve">ANEXO V - </w:t>
      </w:r>
      <w:r>
        <w:rPr>
          <w:color w:val="000000"/>
        </w:rPr>
        <w:t>Declaração de Vistoria;</w:t>
      </w:r>
    </w:p>
    <w:p w:rsidR="00EF71EB" w:rsidRDefault="00EF71EB" w:rsidP="009D75B9">
      <w:pPr>
        <w:widowControl w:val="0"/>
        <w:numPr>
          <w:ilvl w:val="2"/>
          <w:numId w:val="8"/>
        </w:numPr>
        <w:tabs>
          <w:tab w:val="left" w:pos="1440"/>
        </w:tabs>
        <w:spacing w:line="276" w:lineRule="auto"/>
        <w:jc w:val="both"/>
        <w:rPr>
          <w:color w:val="000000"/>
        </w:rPr>
      </w:pPr>
      <w:r>
        <w:rPr>
          <w:color w:val="000000"/>
        </w:rPr>
        <w:t xml:space="preserve"> ANEXO VI - Declaração de Dispensa de Vistoria;</w:t>
      </w:r>
    </w:p>
    <w:p w:rsidR="00EF71EB" w:rsidRDefault="00EF71EB" w:rsidP="009D75B9">
      <w:pPr>
        <w:numPr>
          <w:ilvl w:val="2"/>
          <w:numId w:val="8"/>
        </w:numPr>
        <w:tabs>
          <w:tab w:val="left" w:pos="1440"/>
        </w:tabs>
        <w:spacing w:line="276" w:lineRule="auto"/>
        <w:jc w:val="both"/>
        <w:rPr>
          <w:color w:val="000000"/>
        </w:rPr>
      </w:pPr>
      <w:r>
        <w:rPr>
          <w:color w:val="000000"/>
        </w:rPr>
        <w:t>ANEXO VII – Modelo de declaração de contratos firmados com a iniciativa privada e a Administração Pública;</w:t>
      </w:r>
    </w:p>
    <w:p w:rsidR="00EF71EB" w:rsidRDefault="00EF71EB" w:rsidP="009D75B9">
      <w:pPr>
        <w:numPr>
          <w:ilvl w:val="2"/>
          <w:numId w:val="8"/>
        </w:numPr>
        <w:tabs>
          <w:tab w:val="left" w:pos="1440"/>
        </w:tabs>
        <w:spacing w:line="276" w:lineRule="auto"/>
        <w:jc w:val="both"/>
        <w:rPr>
          <w:color w:val="000000"/>
        </w:rPr>
      </w:pPr>
      <w:r>
        <w:rPr>
          <w:color w:val="000000"/>
        </w:rPr>
        <w:t xml:space="preserve">ANEXO VIII – Modelo de Instrumento de Medição de Resultado - IMR Anexo V-B da IN SEGES/MP N.5/2017. </w:t>
      </w:r>
    </w:p>
    <w:p w:rsidR="00EF71EB" w:rsidRDefault="00EF71EB" w:rsidP="009D75B9">
      <w:pPr>
        <w:numPr>
          <w:ilvl w:val="2"/>
          <w:numId w:val="8"/>
        </w:numPr>
        <w:tabs>
          <w:tab w:val="left" w:pos="1440"/>
        </w:tabs>
        <w:spacing w:line="276" w:lineRule="auto"/>
        <w:jc w:val="both"/>
        <w:rPr>
          <w:color w:val="000000"/>
        </w:rPr>
      </w:pPr>
      <w:r>
        <w:rPr>
          <w:color w:val="000000"/>
        </w:rPr>
        <w:t xml:space="preserve">Apêndice I – Estudos Técnicos Preliminares. </w:t>
      </w:r>
    </w:p>
    <w:p w:rsidR="00EF71EB" w:rsidRDefault="00EF71EB" w:rsidP="00EF71EB">
      <w:pPr>
        <w:spacing w:line="276" w:lineRule="auto"/>
        <w:jc w:val="both"/>
        <w:rPr>
          <w:color w:val="FF0000"/>
        </w:rPr>
      </w:pPr>
    </w:p>
    <w:p w:rsidR="00EF71EB" w:rsidRDefault="00EF71EB" w:rsidP="00EF71EB">
      <w:pPr>
        <w:spacing w:before="120" w:after="120" w:line="276" w:lineRule="auto"/>
        <w:jc w:val="both"/>
        <w:rPr>
          <w:color w:val="FF0000"/>
        </w:rPr>
      </w:pPr>
    </w:p>
    <w:p w:rsidR="00EF71EB" w:rsidRDefault="00EF71EB" w:rsidP="00EF71EB">
      <w:pPr>
        <w:spacing w:before="120" w:after="120" w:line="276" w:lineRule="auto"/>
        <w:jc w:val="both"/>
        <w:rPr>
          <w:color w:val="FF0000"/>
        </w:rPr>
      </w:pPr>
    </w:p>
    <w:p w:rsidR="00EF71EB" w:rsidRDefault="00EF71EB" w:rsidP="00EF71EB">
      <w:pPr>
        <w:spacing w:before="120" w:after="120" w:line="276" w:lineRule="auto"/>
        <w:jc w:val="both"/>
        <w:rPr>
          <w:color w:val="FF0000"/>
        </w:rPr>
      </w:pPr>
    </w:p>
    <w:p w:rsidR="00EF71EB" w:rsidRDefault="00EF71EB" w:rsidP="00EF71EB">
      <w:pPr>
        <w:spacing w:before="120" w:after="120" w:line="276" w:lineRule="auto"/>
        <w:jc w:val="both"/>
        <w:rPr>
          <w:color w:val="000000"/>
        </w:rPr>
      </w:pPr>
    </w:p>
    <w:p w:rsidR="00EF71EB" w:rsidRDefault="00EF71EB" w:rsidP="00EF71EB">
      <w:pPr>
        <w:spacing w:before="120" w:after="120" w:line="276" w:lineRule="auto"/>
        <w:jc w:val="center"/>
        <w:rPr>
          <w:color w:val="000000"/>
        </w:rPr>
      </w:pPr>
      <w:r>
        <w:t>João Pessoa</w:t>
      </w:r>
      <w:r>
        <w:rPr>
          <w:color w:val="000000"/>
        </w:rPr>
        <w:t xml:space="preserve">, </w:t>
      </w:r>
      <w:r>
        <w:t>19</w:t>
      </w:r>
      <w:r>
        <w:rPr>
          <w:color w:val="000000"/>
        </w:rPr>
        <w:t xml:space="preserve"> de </w:t>
      </w:r>
      <w:r>
        <w:t>fevereiro</w:t>
      </w:r>
      <w:r>
        <w:rPr>
          <w:color w:val="000000"/>
        </w:rPr>
        <w:t xml:space="preserve"> de 20</w:t>
      </w:r>
      <w:r>
        <w:t>21.</w:t>
      </w:r>
    </w:p>
    <w:p w:rsidR="00EF71EB" w:rsidRDefault="00EF71EB" w:rsidP="00EF71EB">
      <w:pPr>
        <w:spacing w:before="120" w:after="120" w:line="276" w:lineRule="auto"/>
        <w:jc w:val="center"/>
        <w:rPr>
          <w:b/>
          <w:color w:val="000000"/>
        </w:rPr>
      </w:pPr>
      <w:r>
        <w:rPr>
          <w:b/>
          <w:color w:val="000000"/>
        </w:rPr>
        <w:t>Assinatura da autoridade competente</w:t>
      </w:r>
    </w:p>
    <w:p w:rsidR="00EF71EB" w:rsidRDefault="00EF71EB" w:rsidP="00EF71EB">
      <w:pPr>
        <w:spacing w:before="120" w:after="120" w:line="276" w:lineRule="auto"/>
        <w:jc w:val="center"/>
        <w:rPr>
          <w:b/>
        </w:rPr>
      </w:pPr>
    </w:p>
    <w:p w:rsidR="00622E87" w:rsidRDefault="00622E87" w:rsidP="00EF71EB"/>
    <w:p w:rsidR="00EF71EB" w:rsidRDefault="00EF71EB" w:rsidP="00EF71EB"/>
    <w:p w:rsidR="00EF71EB" w:rsidRDefault="00EF71EB" w:rsidP="00EF71EB"/>
    <w:p w:rsidR="00EF71EB" w:rsidRDefault="00EF71EB" w:rsidP="00EF71EB"/>
    <w:p w:rsidR="00EF71EB" w:rsidRDefault="00EF71EB" w:rsidP="00EF71EB"/>
    <w:p w:rsidR="00EF71EB" w:rsidRDefault="00EF71EB" w:rsidP="00EF71EB"/>
    <w:p w:rsidR="00EF71EB" w:rsidRDefault="00EF71EB" w:rsidP="00EF71EB"/>
    <w:p w:rsidR="00EF71EB" w:rsidRDefault="00EF71EB" w:rsidP="00EF71EB"/>
    <w:p w:rsidR="00EF71EB" w:rsidRDefault="00EF71EB" w:rsidP="00EF71EB"/>
    <w:p w:rsidR="00EF71EB" w:rsidRDefault="00EF71EB" w:rsidP="00EF71EB"/>
    <w:p w:rsidR="00EF71EB" w:rsidRDefault="00EF71EB" w:rsidP="00EF71EB"/>
    <w:p w:rsidR="00EF71EB" w:rsidRDefault="00EF71EB" w:rsidP="00CB74A6">
      <w:pPr>
        <w:spacing w:after="120" w:line="276" w:lineRule="auto"/>
        <w:ind w:right="-15"/>
        <w:jc w:val="center"/>
      </w:pPr>
    </w:p>
    <w:sectPr w:rsidR="00EF71EB" w:rsidSect="00F53117">
      <w:headerReference w:type="default" r:id="rId18"/>
      <w:footerReference w:type="default" r:id="rId19"/>
      <w:pgSz w:w="11906" w:h="16838" w:code="9"/>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5242" w:rsidRDefault="00995242">
      <w:r>
        <w:separator/>
      </w:r>
    </w:p>
  </w:endnote>
  <w:endnote w:type="continuationSeparator" w:id="1">
    <w:p w:rsidR="00995242" w:rsidRDefault="00995242">
      <w:r>
        <w:continuationSeparator/>
      </w:r>
    </w:p>
  </w:endnote>
  <w:endnote w:type="continuationNotice" w:id="2">
    <w:p w:rsidR="00995242" w:rsidRDefault="00995242"/>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Ecofont_Spranq_eco_Sans">
    <w:altName w:val="Segoe Print"/>
    <w:charset w:val="00"/>
    <w:family w:val="roman"/>
    <w:pitch w:val="default"/>
    <w:sig w:usb0="00000000" w:usb1="00000000" w:usb2="00000000" w:usb3="00000000" w:csb0="00000000" w:csb1="00000000"/>
  </w:font>
  <w:font w:name="WenQuanYi Micro Hei">
    <w:altName w:val="Segoe Print"/>
    <w:charset w:val="00"/>
    <w:family w:val="auto"/>
    <w:pitch w:val="default"/>
    <w:sig w:usb0="00000000" w:usb1="00000000" w:usb2="00000000" w:usb3="00000000" w:csb0="00000000" w:csb1="00000000"/>
  </w:font>
  <w:font w:name="Lohit Hindi">
    <w:altName w:val="Segoe Print"/>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648" w:rsidRPr="0021698A" w:rsidRDefault="00022648" w:rsidP="2657C157">
    <w:pPr>
      <w:pStyle w:val="Rodap"/>
      <w:rPr>
        <w:rFonts w:ascii="Times New Roman" w:hAnsi="Times New Roman" w:cs="Times New Roman"/>
      </w:rPr>
    </w:pPr>
    <w:r w:rsidRPr="2657C157">
      <w:rPr>
        <w:rFonts w:ascii="Times New Roman" w:hAnsi="Times New Roman" w:cs="Times New Roman"/>
      </w:rPr>
      <w:t>____________________________________________________________________</w:t>
    </w:r>
  </w:p>
  <w:p w:rsidR="00022648" w:rsidRPr="006F27C2" w:rsidRDefault="00022648" w:rsidP="00182F48">
    <w:pPr>
      <w:pStyle w:val="Rodap"/>
      <w:rPr>
        <w:rFonts w:cs="Arial"/>
        <w:b/>
        <w:bCs/>
        <w:sz w:val="12"/>
        <w:szCs w:val="12"/>
      </w:rPr>
    </w:pPr>
    <w:r w:rsidRPr="006F27C2">
      <w:rPr>
        <w:rFonts w:cs="Arial"/>
        <w:b/>
        <w:bCs/>
        <w:sz w:val="12"/>
        <w:szCs w:val="12"/>
      </w:rPr>
      <w:t>DEPARTAMENTO DE LOGÍSTICA (COMPRAS, CONTRATOS E LICITAÇÕES)</w:t>
    </w:r>
  </w:p>
  <w:p w:rsidR="00022648" w:rsidRPr="006F27C2" w:rsidRDefault="00022648" w:rsidP="00182F48">
    <w:pPr>
      <w:pStyle w:val="Rodap"/>
      <w:rPr>
        <w:rFonts w:cs="Arial"/>
        <w:b/>
        <w:bCs/>
        <w:sz w:val="12"/>
        <w:szCs w:val="12"/>
      </w:rPr>
    </w:pPr>
    <w:r w:rsidRPr="006F27C2">
      <w:rPr>
        <w:rFonts w:cs="Arial"/>
        <w:b/>
        <w:bCs/>
        <w:sz w:val="12"/>
        <w:szCs w:val="12"/>
      </w:rPr>
      <w:t>Comissão Permanente de Licitações</w:t>
    </w:r>
  </w:p>
  <w:p w:rsidR="00022648" w:rsidRPr="0094454D" w:rsidRDefault="00022648" w:rsidP="00182F48">
    <w:pPr>
      <w:pStyle w:val="Rodap"/>
      <w:rPr>
        <w:rFonts w:cs="Arial"/>
        <w:b/>
        <w:bCs/>
        <w:sz w:val="12"/>
        <w:szCs w:val="12"/>
      </w:rPr>
    </w:pPr>
    <w:r w:rsidRPr="006F27C2">
      <w:rPr>
        <w:rFonts w:cs="Arial"/>
        <w:b/>
        <w:bCs/>
        <w:sz w:val="12"/>
        <w:szCs w:val="12"/>
      </w:rPr>
      <w:t xml:space="preserve">Pregão Eletrônico </w:t>
    </w:r>
    <w:r w:rsidR="00EF71EB">
      <w:rPr>
        <w:rFonts w:cs="Arial"/>
        <w:b/>
        <w:bCs/>
        <w:sz w:val="12"/>
        <w:szCs w:val="12"/>
      </w:rPr>
      <w:t>Nº 03/2021</w:t>
    </w:r>
  </w:p>
  <w:p w:rsidR="00022648" w:rsidRPr="0021698A" w:rsidRDefault="00022648" w:rsidP="00182F48">
    <w:pPr>
      <w:pStyle w:val="Rodap"/>
      <w:rPr>
        <w:rFonts w:cs="Arial"/>
        <w:sz w:val="12"/>
        <w:szCs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5242" w:rsidRDefault="00995242">
      <w:r>
        <w:separator/>
      </w:r>
    </w:p>
  </w:footnote>
  <w:footnote w:type="continuationSeparator" w:id="1">
    <w:p w:rsidR="00995242" w:rsidRDefault="00995242">
      <w:r>
        <w:continuationSeparator/>
      </w:r>
    </w:p>
  </w:footnote>
  <w:footnote w:type="continuationNotice" w:id="2">
    <w:p w:rsidR="00995242" w:rsidRDefault="0099524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648" w:rsidRDefault="00022648" w:rsidP="00821083">
    <w:pPr>
      <w:pStyle w:val="Cabealho"/>
      <w:jc w:val="center"/>
      <w:rPr>
        <w:rFonts w:cs="Times New Roman"/>
      </w:rPr>
    </w:pPr>
    <w:r>
      <w:rPr>
        <w:rFonts w:cs="Times New Roman"/>
        <w:noProof/>
      </w:rPr>
      <w:drawing>
        <wp:inline distT="0" distB="0" distL="0" distR="0">
          <wp:extent cx="666750" cy="71437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6750" cy="714375"/>
                  </a:xfrm>
                  <a:prstGeom prst="rect">
                    <a:avLst/>
                  </a:prstGeom>
                  <a:noFill/>
                  <a:ln>
                    <a:noFill/>
                  </a:ln>
                </pic:spPr>
              </pic:pic>
            </a:graphicData>
          </a:graphic>
        </wp:inline>
      </w:drawing>
    </w:r>
  </w:p>
  <w:p w:rsidR="00022648" w:rsidRDefault="00022648" w:rsidP="00821083">
    <w:pPr>
      <w:autoSpaceDE w:val="0"/>
      <w:autoSpaceDN w:val="0"/>
      <w:adjustRightInd w:val="0"/>
      <w:spacing w:before="60"/>
      <w:jc w:val="center"/>
      <w:rPr>
        <w:rFonts w:cs="Times New Roman"/>
        <w:bCs/>
        <w:szCs w:val="20"/>
      </w:rPr>
    </w:pPr>
    <w:r>
      <w:rPr>
        <w:rFonts w:cs="Times New Roman"/>
        <w:bCs/>
        <w:szCs w:val="20"/>
      </w:rPr>
      <w:t>MINISTÉRIO DA EDUCAÇÃO</w:t>
    </w:r>
  </w:p>
  <w:p w:rsidR="00022648" w:rsidRDefault="00022648" w:rsidP="00821083">
    <w:pPr>
      <w:autoSpaceDE w:val="0"/>
      <w:autoSpaceDN w:val="0"/>
      <w:adjustRightInd w:val="0"/>
      <w:jc w:val="center"/>
      <w:rPr>
        <w:rFonts w:cs="Times New Roman"/>
        <w:bCs/>
        <w:szCs w:val="20"/>
      </w:rPr>
    </w:pPr>
    <w:r>
      <w:rPr>
        <w:rFonts w:cs="Times New Roman"/>
        <w:bCs/>
        <w:szCs w:val="20"/>
      </w:rPr>
      <w:t>Secretaria de Educação Profissional e Tecnológica</w:t>
    </w:r>
  </w:p>
  <w:p w:rsidR="00022648" w:rsidRDefault="00022648" w:rsidP="00821083">
    <w:pPr>
      <w:autoSpaceDE w:val="0"/>
      <w:autoSpaceDN w:val="0"/>
      <w:adjustRightInd w:val="0"/>
      <w:jc w:val="center"/>
      <w:rPr>
        <w:rFonts w:cs="Times New Roman"/>
        <w:bCs/>
        <w:szCs w:val="20"/>
      </w:rPr>
    </w:pPr>
    <w:r>
      <w:rPr>
        <w:rFonts w:cs="Times New Roman"/>
        <w:bCs/>
        <w:szCs w:val="20"/>
      </w:rPr>
      <w:t>Instituto Federal de Educação, Ciência e Tecnologia da Paraíba</w:t>
    </w:r>
  </w:p>
  <w:p w:rsidR="00022648" w:rsidRDefault="00022648" w:rsidP="00821083">
    <w:pPr>
      <w:autoSpaceDE w:val="0"/>
      <w:autoSpaceDN w:val="0"/>
      <w:adjustRightInd w:val="0"/>
      <w:jc w:val="center"/>
    </w:pPr>
    <w:r>
      <w:rPr>
        <w:rFonts w:cs="Times New Roman"/>
        <w:bCs/>
        <w:szCs w:val="20"/>
      </w:rPr>
      <w:t>Campus João Pessoa</w:t>
    </w:r>
  </w:p>
  <w:p w:rsidR="00022648" w:rsidRDefault="00022648">
    <w:pPr>
      <w:pStyle w:val="Cabealho"/>
    </w:pPr>
  </w:p>
  <w:p w:rsidR="00022648" w:rsidRDefault="00022648" w:rsidP="00102F2B">
    <w:pPr>
      <w:pStyle w:val="Cabealho"/>
      <w:tabs>
        <w:tab w:val="clear" w:pos="4252"/>
        <w:tab w:val="clear" w:pos="8504"/>
        <w:tab w:val="left" w:pos="473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2CC7FAF"/>
    <w:multiLevelType w:val="multilevel"/>
    <w:tmpl w:val="3D52DD48"/>
    <w:lvl w:ilvl="0">
      <w:start w:val="8"/>
      <w:numFmt w:val="decimal"/>
      <w:lvlText w:val="%1"/>
      <w:lvlJc w:val="left"/>
      <w:pPr>
        <w:ind w:left="435" w:hanging="435"/>
      </w:pPr>
    </w:lvl>
    <w:lvl w:ilvl="1">
      <w:start w:val="5"/>
      <w:numFmt w:val="decimal"/>
      <w:lvlText w:val="%1.%2"/>
      <w:lvlJc w:val="left"/>
      <w:pPr>
        <w:ind w:left="860" w:hanging="435"/>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2">
    <w:nsid w:val="073C3CDF"/>
    <w:multiLevelType w:val="multilevel"/>
    <w:tmpl w:val="F4D2C15C"/>
    <w:lvl w:ilvl="0">
      <w:start w:val="1"/>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3">
    <w:nsid w:val="08642271"/>
    <w:multiLevelType w:val="multilevel"/>
    <w:tmpl w:val="2634F29A"/>
    <w:lvl w:ilvl="0">
      <w:start w:val="1"/>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4">
    <w:nsid w:val="0D9C4D2A"/>
    <w:multiLevelType w:val="multilevel"/>
    <w:tmpl w:val="2D102112"/>
    <w:lvl w:ilvl="0">
      <w:start w:val="20"/>
      <w:numFmt w:val="decimal"/>
      <w:lvlText w:val="%1."/>
      <w:lvlJc w:val="left"/>
      <w:pPr>
        <w:ind w:left="720" w:hanging="360"/>
      </w:pPr>
      <w:rPr>
        <w:color w:val="000000"/>
      </w:rPr>
    </w:lvl>
    <w:lvl w:ilvl="1">
      <w:start w:val="2"/>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5">
    <w:nsid w:val="0E3F467F"/>
    <w:multiLevelType w:val="multilevel"/>
    <w:tmpl w:val="95B4BE0E"/>
    <w:lvl w:ilvl="0">
      <w:start w:val="9"/>
      <w:numFmt w:val="decimal"/>
      <w:lvlText w:val="%1"/>
      <w:lvlJc w:val="left"/>
      <w:pPr>
        <w:ind w:left="360" w:hanging="360"/>
      </w:pPr>
    </w:lvl>
    <w:lvl w:ilvl="1">
      <w:start w:val="8"/>
      <w:numFmt w:val="decimal"/>
      <w:lvlText w:val="%1.%2"/>
      <w:lvlJc w:val="left"/>
      <w:pPr>
        <w:ind w:left="927" w:hanging="360"/>
      </w:pPr>
      <w:rPr>
        <w:b w:val="0"/>
      </w:rPr>
    </w:lvl>
    <w:lvl w:ilvl="2">
      <w:start w:val="1"/>
      <w:numFmt w:val="decimal"/>
      <w:lvlText w:val="%1.%2.%3"/>
      <w:lvlJc w:val="left"/>
      <w:pPr>
        <w:ind w:left="2280" w:hanging="720"/>
      </w:pPr>
      <w:rPr>
        <w:b w:val="0"/>
        <w:i w:val="0"/>
        <w:color w:val="000000"/>
      </w:rPr>
    </w:lvl>
    <w:lvl w:ilvl="3">
      <w:start w:val="1"/>
      <w:numFmt w:val="decimal"/>
      <w:lvlText w:val="%1.%2.%3.%4"/>
      <w:lvlJc w:val="left"/>
      <w:pPr>
        <w:ind w:left="2422" w:hanging="720"/>
      </w:pPr>
    </w:lvl>
    <w:lvl w:ilvl="4">
      <w:start w:val="1"/>
      <w:numFmt w:val="decimal"/>
      <w:lvlText w:val="%1.%2.%3.%4.%5"/>
      <w:lvlJc w:val="left"/>
      <w:pPr>
        <w:ind w:left="3348" w:hanging="1080"/>
      </w:pPr>
      <w:rPr>
        <w:color w:val="000000"/>
        <w:shd w:val="clear" w:color="auto" w:fill="auto"/>
      </w:r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6">
    <w:nsid w:val="0EBA2B69"/>
    <w:multiLevelType w:val="multilevel"/>
    <w:tmpl w:val="0B808CCE"/>
    <w:lvl w:ilvl="0">
      <w:start w:val="19"/>
      <w:numFmt w:val="decimal"/>
      <w:lvlText w:val="%1."/>
      <w:lvlJc w:val="left"/>
      <w:pPr>
        <w:ind w:left="720" w:hanging="360"/>
      </w:pPr>
      <w:rPr>
        <w:color w:val="000000"/>
      </w:rPr>
    </w:lvl>
    <w:lvl w:ilvl="1">
      <w:start w:val="13"/>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7">
    <w:nsid w:val="13607AE3"/>
    <w:multiLevelType w:val="multilevel"/>
    <w:tmpl w:val="5A4EDC40"/>
    <w:lvl w:ilvl="0">
      <w:start w:val="20"/>
      <w:numFmt w:val="decimal"/>
      <w:lvlText w:val="%1."/>
      <w:lvlJc w:val="left"/>
      <w:pPr>
        <w:ind w:left="720" w:hanging="360"/>
      </w:pPr>
      <w:rPr>
        <w:color w:val="000000"/>
      </w:rPr>
    </w:lvl>
    <w:lvl w:ilvl="1">
      <w:start w:val="4"/>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8">
    <w:nsid w:val="140117FD"/>
    <w:multiLevelType w:val="multilevel"/>
    <w:tmpl w:val="DEFE5092"/>
    <w:lvl w:ilvl="0">
      <w:start w:val="17"/>
      <w:numFmt w:val="decimal"/>
      <w:lvlText w:val="%1."/>
      <w:lvlJc w:val="left"/>
      <w:pPr>
        <w:ind w:left="720" w:hanging="360"/>
      </w:pPr>
      <w:rPr>
        <w:color w:val="000000"/>
      </w:rPr>
    </w:lvl>
    <w:lvl w:ilvl="1">
      <w:start w:val="3"/>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9">
    <w:nsid w:val="14246441"/>
    <w:multiLevelType w:val="multilevel"/>
    <w:tmpl w:val="D16EE7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5D6755E"/>
    <w:multiLevelType w:val="multilevel"/>
    <w:tmpl w:val="D45AFCAA"/>
    <w:lvl w:ilvl="0">
      <w:start w:val="17"/>
      <w:numFmt w:val="decimal"/>
      <w:lvlText w:val="%1."/>
      <w:lvlJc w:val="left"/>
      <w:pPr>
        <w:ind w:left="720" w:hanging="360"/>
      </w:pPr>
      <w:rPr>
        <w:color w:val="000000"/>
      </w:rPr>
    </w:lvl>
    <w:lvl w:ilvl="1">
      <w:start w:val="6"/>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11">
    <w:nsid w:val="188B474E"/>
    <w:multiLevelType w:val="multilevel"/>
    <w:tmpl w:val="A3604AF0"/>
    <w:lvl w:ilvl="0">
      <w:start w:val="21"/>
      <w:numFmt w:val="decimal"/>
      <w:lvlText w:val="%1"/>
      <w:lvlJc w:val="left"/>
      <w:pPr>
        <w:ind w:left="360" w:hanging="360"/>
      </w:pPr>
    </w:lvl>
    <w:lvl w:ilvl="1">
      <w:start w:val="1"/>
      <w:numFmt w:val="decimal"/>
      <w:lvlText w:val="%1.%2"/>
      <w:lvlJc w:val="left"/>
      <w:pPr>
        <w:ind w:left="785"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nsid w:val="198F323E"/>
    <w:multiLevelType w:val="multilevel"/>
    <w:tmpl w:val="7A8268F8"/>
    <w:lvl w:ilvl="0">
      <w:start w:val="20"/>
      <w:numFmt w:val="decimal"/>
      <w:lvlText w:val="%1."/>
      <w:lvlJc w:val="left"/>
      <w:pPr>
        <w:ind w:left="720" w:hanging="360"/>
      </w:pPr>
      <w:rPr>
        <w:color w:val="000000"/>
      </w:rPr>
    </w:lvl>
    <w:lvl w:ilvl="1">
      <w:start w:val="15"/>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13">
    <w:nsid w:val="1A013CC1"/>
    <w:multiLevelType w:val="multilevel"/>
    <w:tmpl w:val="0B46D7E6"/>
    <w:lvl w:ilvl="0">
      <w:start w:val="10"/>
      <w:numFmt w:val="decimal"/>
      <w:lvlText w:val="%1"/>
      <w:lvlJc w:val="left"/>
      <w:pPr>
        <w:ind w:left="360" w:hanging="360"/>
      </w:pPr>
    </w:lvl>
    <w:lvl w:ilvl="1">
      <w:start w:val="1"/>
      <w:numFmt w:val="decimal"/>
      <w:lvlText w:val="%1.%2"/>
      <w:lvlJc w:val="left"/>
      <w:pPr>
        <w:ind w:left="785" w:hanging="360"/>
      </w:pPr>
      <w:rPr>
        <w:b w:val="0"/>
        <w:color w:val="00000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4">
    <w:nsid w:val="1AE61481"/>
    <w:multiLevelType w:val="multilevel"/>
    <w:tmpl w:val="A9049B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1D5C100D"/>
    <w:multiLevelType w:val="multilevel"/>
    <w:tmpl w:val="3DF8C69A"/>
    <w:lvl w:ilvl="0">
      <w:start w:val="1"/>
      <w:numFmt w:val="decimal"/>
      <w:pStyle w:val="Nivel01"/>
      <w:lvlText w:val="%1."/>
      <w:lvlJc w:val="left"/>
      <w:pPr>
        <w:ind w:left="360" w:hanging="360"/>
      </w:pPr>
      <w:rPr>
        <w:rFonts w:ascii="Arial" w:eastAsiaTheme="majorEastAsia" w:hAnsi="Arial" w:cs="Arial" w:hint="default"/>
        <w:b/>
      </w:rPr>
    </w:lvl>
    <w:lvl w:ilvl="1">
      <w:start w:val="1"/>
      <w:numFmt w:val="decimal"/>
      <w:lvlText w:val="%1.%2."/>
      <w:lvlJc w:val="left"/>
      <w:pPr>
        <w:ind w:left="1141" w:hanging="432"/>
      </w:pPr>
      <w:rPr>
        <w:rFonts w:hint="default"/>
        <w:b w:val="0"/>
      </w:rPr>
    </w:lvl>
    <w:lvl w:ilvl="2">
      <w:start w:val="1"/>
      <w:numFmt w:val="decimal"/>
      <w:lvlText w:val="%1.%2.%3"/>
      <w:lvlJc w:val="left"/>
      <w:pPr>
        <w:ind w:left="1922" w:hanging="504"/>
      </w:pPr>
      <w:rPr>
        <w:rFonts w:ascii="Times New Roman" w:eastAsia="Times New Roman" w:hAnsi="Times New Roman" w:cs="Times New Roman"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E70762F"/>
    <w:multiLevelType w:val="multilevel"/>
    <w:tmpl w:val="747650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209B216C"/>
    <w:multiLevelType w:val="multilevel"/>
    <w:tmpl w:val="B28E7A3E"/>
    <w:lvl w:ilvl="0">
      <w:start w:val="19"/>
      <w:numFmt w:val="decimal"/>
      <w:lvlText w:val="%1."/>
      <w:lvlJc w:val="left"/>
      <w:pPr>
        <w:ind w:left="720" w:hanging="360"/>
      </w:pPr>
      <w:rPr>
        <w:color w:val="000000"/>
      </w:rPr>
    </w:lvl>
    <w:lvl w:ilvl="1">
      <w:start w:val="14"/>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18">
    <w:nsid w:val="21BB3B92"/>
    <w:multiLevelType w:val="multilevel"/>
    <w:tmpl w:val="1E7AA1A2"/>
    <w:lvl w:ilvl="0">
      <w:start w:val="8"/>
      <w:numFmt w:val="decimal"/>
      <w:lvlText w:val="%1"/>
      <w:lvlJc w:val="left"/>
      <w:pPr>
        <w:ind w:left="540" w:hanging="540"/>
      </w:pPr>
    </w:lvl>
    <w:lvl w:ilvl="1">
      <w:start w:val="10"/>
      <w:numFmt w:val="decimal"/>
      <w:lvlText w:val="%1.%2"/>
      <w:lvlJc w:val="left"/>
      <w:pPr>
        <w:ind w:left="1036" w:hanging="54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19">
    <w:nsid w:val="21FB44EC"/>
    <w:multiLevelType w:val="multilevel"/>
    <w:tmpl w:val="C884EAB2"/>
    <w:lvl w:ilvl="0">
      <w:start w:val="2"/>
      <w:numFmt w:val="decimal"/>
      <w:lvlText w:val="%1."/>
      <w:lvlJc w:val="left"/>
      <w:pPr>
        <w:ind w:left="360" w:hanging="360"/>
      </w:pPr>
      <w:rPr>
        <w:rFonts w:ascii="Arial" w:eastAsia="Arial" w:hAnsi="Arial" w:cs="Arial"/>
        <w:b/>
      </w:rPr>
    </w:lvl>
    <w:lvl w:ilvl="1">
      <w:start w:val="1"/>
      <w:numFmt w:val="decimal"/>
      <w:lvlText w:val="%1.%2."/>
      <w:lvlJc w:val="left"/>
      <w:pPr>
        <w:ind w:left="1141" w:hanging="432"/>
      </w:pPr>
      <w:rPr>
        <w:b w:val="0"/>
      </w:rPr>
    </w:lvl>
    <w:lvl w:ilvl="2">
      <w:start w:val="1"/>
      <w:numFmt w:val="decimal"/>
      <w:lvlText w:val="%1.%2.%3"/>
      <w:lvlJc w:val="left"/>
      <w:pPr>
        <w:ind w:left="1922" w:hanging="504"/>
      </w:pPr>
      <w:rPr>
        <w:rFonts w:ascii="Arial" w:eastAsia="Arial" w:hAnsi="Arial" w:cs="Arial"/>
        <w:b w:val="0"/>
        <w:color w:val="00000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357009D"/>
    <w:multiLevelType w:val="multilevel"/>
    <w:tmpl w:val="8378F2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45F7BED"/>
    <w:multiLevelType w:val="multilevel"/>
    <w:tmpl w:val="206294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278833EE"/>
    <w:multiLevelType w:val="multilevel"/>
    <w:tmpl w:val="DEDACF52"/>
    <w:lvl w:ilvl="0">
      <w:start w:val="20"/>
      <w:numFmt w:val="decimal"/>
      <w:lvlText w:val="%1."/>
      <w:lvlJc w:val="left"/>
      <w:pPr>
        <w:ind w:left="720" w:hanging="360"/>
      </w:pPr>
      <w:rPr>
        <w:color w:val="000000"/>
      </w:rPr>
    </w:lvl>
    <w:lvl w:ilvl="1">
      <w:start w:val="12"/>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23">
    <w:nsid w:val="2886640C"/>
    <w:multiLevelType w:val="multilevel"/>
    <w:tmpl w:val="B88AFCDE"/>
    <w:lvl w:ilvl="0">
      <w:start w:val="17"/>
      <w:numFmt w:val="decimal"/>
      <w:lvlText w:val="%1."/>
      <w:lvlJc w:val="left"/>
      <w:pPr>
        <w:ind w:left="720" w:hanging="360"/>
      </w:pPr>
      <w:rPr>
        <w:color w:val="000000"/>
      </w:rPr>
    </w:lvl>
    <w:lvl w:ilvl="1">
      <w:start w:val="16"/>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24">
    <w:nsid w:val="28B320BA"/>
    <w:multiLevelType w:val="multilevel"/>
    <w:tmpl w:val="5F081C68"/>
    <w:lvl w:ilvl="0">
      <w:start w:val="1"/>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25">
    <w:nsid w:val="29D2170D"/>
    <w:multiLevelType w:val="multilevel"/>
    <w:tmpl w:val="29BA15D4"/>
    <w:lvl w:ilvl="0">
      <w:start w:val="3"/>
      <w:numFmt w:val="decimal"/>
      <w:lvlText w:val="%1."/>
      <w:lvlJc w:val="left"/>
      <w:pPr>
        <w:ind w:left="360" w:hanging="360"/>
      </w:pPr>
      <w:rPr>
        <w:rFonts w:ascii="Arial" w:eastAsia="Arial" w:hAnsi="Arial" w:cs="Arial"/>
        <w:b/>
      </w:rPr>
    </w:lvl>
    <w:lvl w:ilvl="1">
      <w:start w:val="1"/>
      <w:numFmt w:val="decimal"/>
      <w:lvlText w:val="%1.%2."/>
      <w:lvlJc w:val="left"/>
      <w:pPr>
        <w:ind w:left="1141" w:hanging="432"/>
      </w:pPr>
      <w:rPr>
        <w:b w:val="0"/>
      </w:rPr>
    </w:lvl>
    <w:lvl w:ilvl="2">
      <w:start w:val="1"/>
      <w:numFmt w:val="decimal"/>
      <w:lvlText w:val="%1.%2.%3"/>
      <w:lvlJc w:val="left"/>
      <w:pPr>
        <w:ind w:left="1922" w:hanging="504"/>
      </w:pPr>
      <w:rPr>
        <w:rFonts w:ascii="Arial" w:eastAsia="Arial" w:hAnsi="Arial" w:cs="Arial"/>
        <w:b w:val="0"/>
        <w:color w:val="00000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D5D15C3"/>
    <w:multiLevelType w:val="multilevel"/>
    <w:tmpl w:val="35E034F6"/>
    <w:lvl w:ilvl="0">
      <w:start w:val="1"/>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27">
    <w:nsid w:val="32760C1F"/>
    <w:multiLevelType w:val="multilevel"/>
    <w:tmpl w:val="67EEADE2"/>
    <w:lvl w:ilvl="0">
      <w:start w:val="8"/>
      <w:numFmt w:val="decimal"/>
      <w:lvlText w:val="%1"/>
      <w:lvlJc w:val="left"/>
      <w:pPr>
        <w:ind w:left="540" w:hanging="540"/>
      </w:pPr>
    </w:lvl>
    <w:lvl w:ilvl="1">
      <w:start w:val="11"/>
      <w:numFmt w:val="decimal"/>
      <w:lvlText w:val="%1.%2"/>
      <w:lvlJc w:val="left"/>
      <w:pPr>
        <w:ind w:left="1036" w:hanging="54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28">
    <w:nsid w:val="33405E26"/>
    <w:multiLevelType w:val="multilevel"/>
    <w:tmpl w:val="35D23BDE"/>
    <w:lvl w:ilvl="0">
      <w:start w:val="1"/>
      <w:numFmt w:val="decimal"/>
      <w:lvlText w:val="%1."/>
      <w:lvlJc w:val="left"/>
      <w:pPr>
        <w:ind w:left="360" w:hanging="360"/>
      </w:pPr>
      <w:rPr>
        <w:rFonts w:ascii="Arial" w:eastAsia="Arial" w:hAnsi="Arial" w:cs="Arial"/>
        <w:b/>
      </w:rPr>
    </w:lvl>
    <w:lvl w:ilvl="1">
      <w:start w:val="13"/>
      <w:numFmt w:val="decimal"/>
      <w:lvlText w:val="%1.%2."/>
      <w:lvlJc w:val="left"/>
      <w:pPr>
        <w:ind w:left="1141" w:hanging="432"/>
      </w:pPr>
      <w:rPr>
        <w:b w:val="0"/>
      </w:rPr>
    </w:lvl>
    <w:lvl w:ilvl="2">
      <w:start w:val="1"/>
      <w:numFmt w:val="decimal"/>
      <w:lvlText w:val="%1.%2.%3"/>
      <w:lvlJc w:val="left"/>
      <w:pPr>
        <w:ind w:left="1922" w:hanging="504"/>
      </w:pPr>
      <w:rPr>
        <w:rFonts w:ascii="Arial" w:eastAsia="Arial" w:hAnsi="Arial" w:cs="Arial"/>
        <w:b w:val="0"/>
        <w:color w:val="00000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33F16D60"/>
    <w:multiLevelType w:val="multilevel"/>
    <w:tmpl w:val="9B1E3910"/>
    <w:lvl w:ilvl="0">
      <w:start w:val="6"/>
      <w:numFmt w:val="decimal"/>
      <w:lvlText w:val="%1."/>
      <w:lvlJc w:val="left"/>
      <w:pPr>
        <w:ind w:left="360" w:hanging="360"/>
      </w:pPr>
      <w:rPr>
        <w:rFonts w:ascii="Arial" w:eastAsia="Arial" w:hAnsi="Arial" w:cs="Arial"/>
        <w:b/>
      </w:rPr>
    </w:lvl>
    <w:lvl w:ilvl="1">
      <w:start w:val="1"/>
      <w:numFmt w:val="decimal"/>
      <w:lvlText w:val="%1.%2."/>
      <w:lvlJc w:val="left"/>
      <w:pPr>
        <w:ind w:left="1141" w:hanging="432"/>
      </w:pPr>
      <w:rPr>
        <w:b w:val="0"/>
      </w:rPr>
    </w:lvl>
    <w:lvl w:ilvl="2">
      <w:start w:val="1"/>
      <w:numFmt w:val="decimal"/>
      <w:lvlText w:val="%1.%2.%3"/>
      <w:lvlJc w:val="left"/>
      <w:pPr>
        <w:ind w:left="1922" w:hanging="504"/>
      </w:pPr>
      <w:rPr>
        <w:rFonts w:ascii="Arial" w:eastAsia="Arial" w:hAnsi="Arial" w:cs="Arial"/>
        <w:b w:val="0"/>
        <w:color w:val="00000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6A100C4"/>
    <w:multiLevelType w:val="multilevel"/>
    <w:tmpl w:val="F9641EF4"/>
    <w:lvl w:ilvl="0">
      <w:start w:val="1"/>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31">
    <w:nsid w:val="36B16D82"/>
    <w:multiLevelType w:val="multilevel"/>
    <w:tmpl w:val="CC78C308"/>
    <w:lvl w:ilvl="0">
      <w:start w:val="8"/>
      <w:numFmt w:val="decimal"/>
      <w:lvlText w:val="%1"/>
      <w:lvlJc w:val="left"/>
      <w:pPr>
        <w:ind w:left="540" w:hanging="540"/>
      </w:pPr>
    </w:lvl>
    <w:lvl w:ilvl="1">
      <w:start w:val="1"/>
      <w:numFmt w:val="decimal"/>
      <w:lvlText w:val="%1.%2"/>
      <w:lvlJc w:val="left"/>
      <w:pPr>
        <w:ind w:left="1036" w:hanging="540"/>
      </w:pPr>
      <w:rPr>
        <w:i w:val="0"/>
      </w:rPr>
    </w:lvl>
    <w:lvl w:ilvl="2">
      <w:start w:val="2"/>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32">
    <w:nsid w:val="3E2A1194"/>
    <w:multiLevelType w:val="multilevel"/>
    <w:tmpl w:val="3058E702"/>
    <w:lvl w:ilvl="0">
      <w:start w:val="21"/>
      <w:numFmt w:val="decimal"/>
      <w:lvlText w:val="%1"/>
      <w:lvlJc w:val="left"/>
      <w:pPr>
        <w:ind w:left="375" w:hanging="375"/>
      </w:pPr>
    </w:lvl>
    <w:lvl w:ilvl="1">
      <w:start w:val="1"/>
      <w:numFmt w:val="decimal"/>
      <w:lvlText w:val="%1.%2"/>
      <w:lvlJc w:val="left"/>
      <w:pPr>
        <w:ind w:left="800" w:hanging="375"/>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33">
    <w:nsid w:val="43474638"/>
    <w:multiLevelType w:val="multilevel"/>
    <w:tmpl w:val="33EA082E"/>
    <w:lvl w:ilvl="0">
      <w:start w:val="21"/>
      <w:numFmt w:val="decimal"/>
      <w:lvlText w:val="%1."/>
      <w:lvlJc w:val="left"/>
      <w:pPr>
        <w:ind w:left="720" w:hanging="360"/>
      </w:pPr>
      <w:rPr>
        <w:color w:val="000000"/>
      </w:rPr>
    </w:lvl>
    <w:lvl w:ilvl="1">
      <w:start w:val="2"/>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34">
    <w:nsid w:val="4FB81611"/>
    <w:multiLevelType w:val="multilevel"/>
    <w:tmpl w:val="6694BD30"/>
    <w:lvl w:ilvl="0">
      <w:start w:val="7"/>
      <w:numFmt w:val="decimal"/>
      <w:lvlText w:val="%1"/>
      <w:lvlJc w:val="left"/>
      <w:pPr>
        <w:ind w:left="360" w:hanging="360"/>
      </w:pPr>
    </w:lvl>
    <w:lvl w:ilvl="1">
      <w:start w:val="1"/>
      <w:numFmt w:val="decimal"/>
      <w:lvlText w:val="%1.%2"/>
      <w:lvlJc w:val="left"/>
      <w:pPr>
        <w:ind w:left="785" w:hanging="36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35">
    <w:nsid w:val="52A4233E"/>
    <w:multiLevelType w:val="multilevel"/>
    <w:tmpl w:val="722C6D90"/>
    <w:lvl w:ilvl="0">
      <w:start w:val="7"/>
      <w:numFmt w:val="decimal"/>
      <w:lvlText w:val="%1"/>
      <w:lvlJc w:val="left"/>
      <w:pPr>
        <w:ind w:left="360" w:hanging="360"/>
      </w:pPr>
    </w:lvl>
    <w:lvl w:ilvl="1">
      <w:start w:val="21"/>
      <w:numFmt w:val="decimal"/>
      <w:lvlText w:val="%1.%2"/>
      <w:lvlJc w:val="left"/>
      <w:pPr>
        <w:ind w:left="785" w:hanging="36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36">
    <w:nsid w:val="56247906"/>
    <w:multiLevelType w:val="multilevel"/>
    <w:tmpl w:val="4E6ACAE2"/>
    <w:lvl w:ilvl="0">
      <w:start w:val="19"/>
      <w:numFmt w:val="decimal"/>
      <w:lvlText w:val="%1."/>
      <w:lvlJc w:val="left"/>
      <w:pPr>
        <w:ind w:left="720" w:hanging="360"/>
      </w:pPr>
      <w:rPr>
        <w:color w:val="000000"/>
      </w:rPr>
    </w:lvl>
    <w:lvl w:ilvl="1">
      <w:start w:val="7"/>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37">
    <w:nsid w:val="581A1644"/>
    <w:multiLevelType w:val="multilevel"/>
    <w:tmpl w:val="DA348664"/>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8">
    <w:nsid w:val="588F237B"/>
    <w:multiLevelType w:val="multilevel"/>
    <w:tmpl w:val="B8F6387A"/>
    <w:lvl w:ilvl="0">
      <w:start w:val="21"/>
      <w:numFmt w:val="decimal"/>
      <w:lvlText w:val="%1."/>
      <w:lvlJc w:val="left"/>
      <w:pPr>
        <w:ind w:left="720" w:hanging="360"/>
      </w:pPr>
      <w:rPr>
        <w:color w:val="000000"/>
      </w:rPr>
    </w:lvl>
    <w:lvl w:ilvl="1">
      <w:start w:val="1"/>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39">
    <w:nsid w:val="5A7055B1"/>
    <w:multiLevelType w:val="multilevel"/>
    <w:tmpl w:val="40347CC0"/>
    <w:lvl w:ilvl="0">
      <w:start w:val="8"/>
      <w:numFmt w:val="decimal"/>
      <w:lvlText w:val="%1"/>
      <w:lvlJc w:val="left"/>
      <w:pPr>
        <w:ind w:left="540" w:hanging="540"/>
      </w:pPr>
    </w:lvl>
    <w:lvl w:ilvl="1">
      <w:start w:val="6"/>
      <w:numFmt w:val="decimal"/>
      <w:lvlText w:val="%1.%2"/>
      <w:lvlJc w:val="left"/>
      <w:pPr>
        <w:ind w:left="1036" w:hanging="54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40">
    <w:nsid w:val="5D9307B9"/>
    <w:multiLevelType w:val="multilevel"/>
    <w:tmpl w:val="EAEC0F7C"/>
    <w:lvl w:ilvl="0">
      <w:start w:val="17"/>
      <w:numFmt w:val="decimal"/>
      <w:lvlText w:val="%1."/>
      <w:lvlJc w:val="left"/>
      <w:pPr>
        <w:ind w:left="720" w:hanging="360"/>
      </w:pPr>
      <w:rPr>
        <w:color w:val="000000"/>
      </w:rPr>
    </w:lvl>
    <w:lvl w:ilvl="1">
      <w:start w:val="13"/>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41">
    <w:nsid w:val="5E42464C"/>
    <w:multiLevelType w:val="multilevel"/>
    <w:tmpl w:val="2D5C9586"/>
    <w:lvl w:ilvl="0">
      <w:start w:val="9"/>
      <w:numFmt w:val="decimal"/>
      <w:lvlText w:val="%1"/>
      <w:lvlJc w:val="left"/>
      <w:pPr>
        <w:ind w:left="360" w:hanging="360"/>
      </w:pPr>
    </w:lvl>
    <w:lvl w:ilvl="1">
      <w:start w:val="1"/>
      <w:numFmt w:val="decimal"/>
      <w:lvlText w:val="%1.%2"/>
      <w:lvlJc w:val="left"/>
      <w:pPr>
        <w:ind w:left="927" w:hanging="360"/>
      </w:pPr>
      <w:rPr>
        <w:b w:val="0"/>
      </w:rPr>
    </w:lvl>
    <w:lvl w:ilvl="2">
      <w:start w:val="1"/>
      <w:numFmt w:val="decimal"/>
      <w:lvlText w:val="%1.%2.%3"/>
      <w:lvlJc w:val="left"/>
      <w:pPr>
        <w:ind w:left="2280" w:hanging="720"/>
      </w:pPr>
      <w:rPr>
        <w:b w:val="0"/>
        <w:color w:val="000000"/>
      </w:rPr>
    </w:lvl>
    <w:lvl w:ilvl="3">
      <w:start w:val="1"/>
      <w:numFmt w:val="decimal"/>
      <w:lvlText w:val="%1.%2.%3.%4"/>
      <w:lvlJc w:val="left"/>
      <w:pPr>
        <w:ind w:left="2422"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2">
    <w:nsid w:val="60DA667C"/>
    <w:multiLevelType w:val="multilevel"/>
    <w:tmpl w:val="D37A748C"/>
    <w:lvl w:ilvl="0">
      <w:start w:val="4"/>
      <w:numFmt w:val="decimal"/>
      <w:lvlText w:val="%1"/>
      <w:lvlJc w:val="left"/>
      <w:pPr>
        <w:ind w:left="405" w:hanging="405"/>
      </w:pPr>
    </w:lvl>
    <w:lvl w:ilvl="1">
      <w:start w:val="2"/>
      <w:numFmt w:val="decimal"/>
      <w:lvlText w:val="%1.%2"/>
      <w:lvlJc w:val="left"/>
      <w:pPr>
        <w:ind w:left="1114" w:hanging="405"/>
      </w:pPr>
    </w:lvl>
    <w:lvl w:ilvl="2">
      <w:start w:val="1"/>
      <w:numFmt w:val="decimal"/>
      <w:lvlText w:val="%1.%2.%3"/>
      <w:lvlJc w:val="left"/>
      <w:pPr>
        <w:ind w:left="2216" w:hanging="720"/>
      </w:pPr>
      <w:rPr>
        <w:rFonts w:ascii="Arial" w:eastAsia="Arial" w:hAnsi="Arial" w:cs="Arial"/>
      </w:rPr>
    </w:lvl>
    <w:lvl w:ilvl="3">
      <w:start w:val="1"/>
      <w:numFmt w:val="decimal"/>
      <w:lvlText w:val="%1.%2.%3.%4"/>
      <w:lvlJc w:val="left"/>
      <w:pPr>
        <w:ind w:left="2964" w:hanging="720"/>
      </w:pPr>
    </w:lvl>
    <w:lvl w:ilvl="4">
      <w:start w:val="1"/>
      <w:numFmt w:val="decimal"/>
      <w:lvlText w:val="%1.%2.%3.%4.%5"/>
      <w:lvlJc w:val="left"/>
      <w:pPr>
        <w:ind w:left="3712" w:hanging="720"/>
      </w:pPr>
    </w:lvl>
    <w:lvl w:ilvl="5">
      <w:start w:val="1"/>
      <w:numFmt w:val="decimal"/>
      <w:lvlText w:val="%1.%2.%3.%4.%5.%6"/>
      <w:lvlJc w:val="left"/>
      <w:pPr>
        <w:ind w:left="4820" w:hanging="1080"/>
      </w:pPr>
    </w:lvl>
    <w:lvl w:ilvl="6">
      <w:start w:val="1"/>
      <w:numFmt w:val="decimal"/>
      <w:lvlText w:val="%1.%2.%3.%4.%5.%6.%7"/>
      <w:lvlJc w:val="left"/>
      <w:pPr>
        <w:ind w:left="5568" w:hanging="1080"/>
      </w:pPr>
    </w:lvl>
    <w:lvl w:ilvl="7">
      <w:start w:val="1"/>
      <w:numFmt w:val="decimal"/>
      <w:lvlText w:val="%1.%2.%3.%4.%5.%6.%7.%8"/>
      <w:lvlJc w:val="left"/>
      <w:pPr>
        <w:ind w:left="6676" w:hanging="1440"/>
      </w:pPr>
    </w:lvl>
    <w:lvl w:ilvl="8">
      <w:start w:val="1"/>
      <w:numFmt w:val="decimal"/>
      <w:lvlText w:val="%1.%2.%3.%4.%5.%6.%7.%8.%9"/>
      <w:lvlJc w:val="left"/>
      <w:pPr>
        <w:ind w:left="7424" w:hanging="1440"/>
      </w:pPr>
    </w:lvl>
  </w:abstractNum>
  <w:abstractNum w:abstractNumId="43">
    <w:nsid w:val="61387132"/>
    <w:multiLevelType w:val="multilevel"/>
    <w:tmpl w:val="BC4C379C"/>
    <w:lvl w:ilvl="0">
      <w:start w:val="4"/>
      <w:numFmt w:val="decimal"/>
      <w:lvlText w:val="%1"/>
      <w:lvlJc w:val="left"/>
      <w:pPr>
        <w:ind w:left="435" w:hanging="435"/>
      </w:pPr>
      <w:rPr>
        <w:color w:val="000000"/>
        <w:sz w:val="20"/>
        <w:szCs w:val="20"/>
      </w:rPr>
    </w:lvl>
    <w:lvl w:ilvl="1">
      <w:start w:val="3"/>
      <w:numFmt w:val="decimal"/>
      <w:lvlText w:val="%1.%2"/>
      <w:lvlJc w:val="left"/>
      <w:pPr>
        <w:ind w:left="1145" w:hanging="435"/>
      </w:pPr>
      <w:rPr>
        <w:color w:val="000000"/>
        <w:sz w:val="20"/>
        <w:szCs w:val="20"/>
      </w:rPr>
    </w:lvl>
    <w:lvl w:ilvl="2">
      <w:start w:val="1"/>
      <w:numFmt w:val="decimal"/>
      <w:lvlText w:val="%1.%2.%3"/>
      <w:lvlJc w:val="left"/>
      <w:pPr>
        <w:ind w:left="2140" w:hanging="720"/>
      </w:pPr>
      <w:rPr>
        <w:color w:val="000000"/>
        <w:sz w:val="20"/>
        <w:szCs w:val="20"/>
      </w:rPr>
    </w:lvl>
    <w:lvl w:ilvl="3">
      <w:start w:val="1"/>
      <w:numFmt w:val="decimal"/>
      <w:lvlText w:val="%1.%2.%3.%4"/>
      <w:lvlJc w:val="left"/>
      <w:pPr>
        <w:ind w:left="2850" w:hanging="720"/>
      </w:pPr>
      <w:rPr>
        <w:color w:val="000000"/>
        <w:sz w:val="20"/>
        <w:szCs w:val="20"/>
      </w:rPr>
    </w:lvl>
    <w:lvl w:ilvl="4">
      <w:start w:val="1"/>
      <w:numFmt w:val="decimal"/>
      <w:lvlText w:val="%1.%2.%3.%4.%5"/>
      <w:lvlJc w:val="left"/>
      <w:pPr>
        <w:ind w:left="3560" w:hanging="720"/>
      </w:pPr>
      <w:rPr>
        <w:color w:val="000000"/>
        <w:sz w:val="20"/>
        <w:szCs w:val="20"/>
      </w:rPr>
    </w:lvl>
    <w:lvl w:ilvl="5">
      <w:start w:val="1"/>
      <w:numFmt w:val="decimal"/>
      <w:lvlText w:val="%1.%2.%3.%4.%5.%6"/>
      <w:lvlJc w:val="left"/>
      <w:pPr>
        <w:ind w:left="4630" w:hanging="1080"/>
      </w:pPr>
      <w:rPr>
        <w:color w:val="000000"/>
        <w:sz w:val="20"/>
        <w:szCs w:val="20"/>
      </w:rPr>
    </w:lvl>
    <w:lvl w:ilvl="6">
      <w:start w:val="1"/>
      <w:numFmt w:val="decimal"/>
      <w:lvlText w:val="%1.%2.%3.%4.%5.%6.%7"/>
      <w:lvlJc w:val="left"/>
      <w:pPr>
        <w:ind w:left="5340" w:hanging="1080"/>
      </w:pPr>
      <w:rPr>
        <w:color w:val="000000"/>
        <w:sz w:val="20"/>
        <w:szCs w:val="20"/>
      </w:rPr>
    </w:lvl>
    <w:lvl w:ilvl="7">
      <w:start w:val="1"/>
      <w:numFmt w:val="decimal"/>
      <w:lvlText w:val="%1.%2.%3.%4.%5.%6.%7.%8"/>
      <w:lvlJc w:val="left"/>
      <w:pPr>
        <w:ind w:left="6410" w:hanging="1440"/>
      </w:pPr>
      <w:rPr>
        <w:color w:val="000000"/>
        <w:sz w:val="20"/>
        <w:szCs w:val="20"/>
      </w:rPr>
    </w:lvl>
    <w:lvl w:ilvl="8">
      <w:start w:val="1"/>
      <w:numFmt w:val="decimal"/>
      <w:lvlText w:val="%1.%2.%3.%4.%5.%6.%7.%8.%9"/>
      <w:lvlJc w:val="left"/>
      <w:pPr>
        <w:ind w:left="7120" w:hanging="1440"/>
      </w:pPr>
      <w:rPr>
        <w:color w:val="000000"/>
        <w:sz w:val="20"/>
        <w:szCs w:val="20"/>
      </w:rPr>
    </w:lvl>
  </w:abstractNum>
  <w:abstractNum w:abstractNumId="44">
    <w:nsid w:val="61762E49"/>
    <w:multiLevelType w:val="multilevel"/>
    <w:tmpl w:val="DD303746"/>
    <w:lvl w:ilvl="0">
      <w:start w:val="8"/>
      <w:numFmt w:val="decimal"/>
      <w:lvlText w:val="%1"/>
      <w:lvlJc w:val="left"/>
      <w:pPr>
        <w:ind w:left="435" w:hanging="435"/>
      </w:pPr>
      <w:rPr>
        <w:color w:val="000000"/>
      </w:rPr>
    </w:lvl>
    <w:lvl w:ilvl="1">
      <w:start w:val="4"/>
      <w:numFmt w:val="decimal"/>
      <w:lvlText w:val="%1.%2"/>
      <w:lvlJc w:val="left"/>
      <w:pPr>
        <w:ind w:left="931" w:hanging="435"/>
      </w:pPr>
      <w:rPr>
        <w:color w:val="000000"/>
      </w:rPr>
    </w:lvl>
    <w:lvl w:ilvl="2">
      <w:start w:val="1"/>
      <w:numFmt w:val="decimal"/>
      <w:lvlText w:val="%1.%2.%3"/>
      <w:lvlJc w:val="left"/>
      <w:pPr>
        <w:ind w:left="1712" w:hanging="720"/>
      </w:pPr>
      <w:rPr>
        <w:color w:val="000000"/>
      </w:rPr>
    </w:lvl>
    <w:lvl w:ilvl="3">
      <w:start w:val="1"/>
      <w:numFmt w:val="decimal"/>
      <w:lvlText w:val="%1.%2.%3.%4"/>
      <w:lvlJc w:val="left"/>
      <w:pPr>
        <w:ind w:left="2208" w:hanging="720"/>
      </w:pPr>
      <w:rPr>
        <w:i w:val="0"/>
        <w:color w:val="000000"/>
      </w:rPr>
    </w:lvl>
    <w:lvl w:ilvl="4">
      <w:start w:val="1"/>
      <w:numFmt w:val="decimal"/>
      <w:lvlText w:val="%1.%2.%3.%4.%5"/>
      <w:lvlJc w:val="left"/>
      <w:pPr>
        <w:ind w:left="3064" w:hanging="1080"/>
      </w:pPr>
      <w:rPr>
        <w:color w:val="000000"/>
      </w:rPr>
    </w:lvl>
    <w:lvl w:ilvl="5">
      <w:start w:val="1"/>
      <w:numFmt w:val="decimal"/>
      <w:lvlText w:val="%1.%2.%3.%4.%5.%6"/>
      <w:lvlJc w:val="left"/>
      <w:pPr>
        <w:ind w:left="3560" w:hanging="1080"/>
      </w:pPr>
      <w:rPr>
        <w:color w:val="000000"/>
      </w:rPr>
    </w:lvl>
    <w:lvl w:ilvl="6">
      <w:start w:val="1"/>
      <w:numFmt w:val="decimal"/>
      <w:lvlText w:val="%1.%2.%3.%4.%5.%6.%7"/>
      <w:lvlJc w:val="left"/>
      <w:pPr>
        <w:ind w:left="4416" w:hanging="1440"/>
      </w:pPr>
      <w:rPr>
        <w:color w:val="000000"/>
      </w:rPr>
    </w:lvl>
    <w:lvl w:ilvl="7">
      <w:start w:val="1"/>
      <w:numFmt w:val="decimal"/>
      <w:lvlText w:val="%1.%2.%3.%4.%5.%6.%7.%8"/>
      <w:lvlJc w:val="left"/>
      <w:pPr>
        <w:ind w:left="4912" w:hanging="1440"/>
      </w:pPr>
      <w:rPr>
        <w:color w:val="000000"/>
      </w:rPr>
    </w:lvl>
    <w:lvl w:ilvl="8">
      <w:start w:val="1"/>
      <w:numFmt w:val="decimal"/>
      <w:lvlText w:val="%1.%2.%3.%4.%5.%6.%7.%8.%9"/>
      <w:lvlJc w:val="left"/>
      <w:pPr>
        <w:ind w:left="5768" w:hanging="1800"/>
      </w:pPr>
      <w:rPr>
        <w:color w:val="000000"/>
      </w:rPr>
    </w:lvl>
  </w:abstractNum>
  <w:abstractNum w:abstractNumId="45">
    <w:nsid w:val="61F41DCE"/>
    <w:multiLevelType w:val="multilevel"/>
    <w:tmpl w:val="5DC6C9B4"/>
    <w:lvl w:ilvl="0">
      <w:start w:val="19"/>
      <w:numFmt w:val="decimal"/>
      <w:lvlText w:val="%1."/>
      <w:lvlJc w:val="left"/>
      <w:pPr>
        <w:ind w:left="720" w:hanging="360"/>
      </w:pPr>
      <w:rPr>
        <w:color w:val="000000"/>
      </w:rPr>
    </w:lvl>
    <w:lvl w:ilvl="1">
      <w:start w:val="3"/>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46">
    <w:nsid w:val="644322D2"/>
    <w:multiLevelType w:val="multilevel"/>
    <w:tmpl w:val="1108B188"/>
    <w:lvl w:ilvl="0">
      <w:start w:val="1"/>
      <w:numFmt w:val="decimal"/>
      <w:lvlText w:val="%1."/>
      <w:lvlJc w:val="left"/>
      <w:pPr>
        <w:ind w:left="360" w:hanging="360"/>
      </w:pPr>
      <w:rPr>
        <w:rFonts w:ascii="Arial" w:eastAsia="Arial" w:hAnsi="Arial" w:cs="Arial"/>
        <w:b/>
      </w:rPr>
    </w:lvl>
    <w:lvl w:ilvl="1">
      <w:start w:val="1"/>
      <w:numFmt w:val="decimal"/>
      <w:lvlText w:val="%1.%2."/>
      <w:lvlJc w:val="left"/>
      <w:pPr>
        <w:ind w:left="1141" w:hanging="432"/>
      </w:pPr>
      <w:rPr>
        <w:b w:val="0"/>
      </w:rPr>
    </w:lvl>
    <w:lvl w:ilvl="2">
      <w:start w:val="1"/>
      <w:numFmt w:val="decimal"/>
      <w:lvlText w:val="%1.%2.%3"/>
      <w:lvlJc w:val="left"/>
      <w:pPr>
        <w:ind w:left="1922" w:hanging="504"/>
      </w:pPr>
      <w:rPr>
        <w:rFonts w:ascii="Arial" w:eastAsia="Arial" w:hAnsi="Arial" w:cs="Arial"/>
        <w:b w:val="0"/>
        <w:color w:val="00000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7DD65BC"/>
    <w:multiLevelType w:val="multilevel"/>
    <w:tmpl w:val="4E7C5BCA"/>
    <w:lvl w:ilvl="0">
      <w:start w:val="4"/>
      <w:numFmt w:val="decimal"/>
      <w:lvlText w:val="%1."/>
      <w:lvlJc w:val="left"/>
      <w:pPr>
        <w:ind w:left="360" w:hanging="360"/>
      </w:pPr>
      <w:rPr>
        <w:rFonts w:ascii="Arial" w:eastAsia="Arial" w:hAnsi="Arial" w:cs="Arial"/>
        <w:b/>
      </w:rPr>
    </w:lvl>
    <w:lvl w:ilvl="1">
      <w:start w:val="1"/>
      <w:numFmt w:val="decimal"/>
      <w:lvlText w:val="%1.%2."/>
      <w:lvlJc w:val="left"/>
      <w:pPr>
        <w:ind w:left="1141" w:hanging="432"/>
      </w:pPr>
      <w:rPr>
        <w:b w:val="0"/>
      </w:rPr>
    </w:lvl>
    <w:lvl w:ilvl="2">
      <w:start w:val="1"/>
      <w:numFmt w:val="decimal"/>
      <w:lvlText w:val="%1.%2.%3"/>
      <w:lvlJc w:val="left"/>
      <w:pPr>
        <w:ind w:left="1922" w:hanging="504"/>
      </w:pPr>
      <w:rPr>
        <w:rFonts w:ascii="Arial" w:eastAsia="Arial" w:hAnsi="Arial" w:cs="Arial"/>
        <w:b w:val="0"/>
        <w:color w:val="000000"/>
      </w:rPr>
    </w:lvl>
    <w:lvl w:ilvl="3">
      <w:start w:val="1"/>
      <w:numFmt w:val="decimal"/>
      <w:lvlText w:val="%1.%2.%3.%4."/>
      <w:lvlJc w:val="left"/>
      <w:pPr>
        <w:ind w:left="1725" w:firstLine="259"/>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920395D"/>
    <w:multiLevelType w:val="multilevel"/>
    <w:tmpl w:val="DBAAC91C"/>
    <w:lvl w:ilvl="0">
      <w:start w:val="9"/>
      <w:numFmt w:val="decimal"/>
      <w:lvlText w:val="%1"/>
      <w:lvlJc w:val="left"/>
      <w:pPr>
        <w:ind w:left="375" w:hanging="375"/>
      </w:pPr>
    </w:lvl>
    <w:lvl w:ilvl="1">
      <w:start w:val="11"/>
      <w:numFmt w:val="decimal"/>
      <w:lvlText w:val="%1.%2"/>
      <w:lvlJc w:val="left"/>
      <w:pPr>
        <w:ind w:left="942" w:hanging="37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9">
    <w:nsid w:val="6D6D2BDB"/>
    <w:multiLevelType w:val="multilevel"/>
    <w:tmpl w:val="73C4A844"/>
    <w:lvl w:ilvl="0">
      <w:start w:val="15"/>
      <w:numFmt w:val="decimal"/>
      <w:lvlText w:val="%1"/>
      <w:lvlJc w:val="left"/>
      <w:pPr>
        <w:ind w:left="360" w:hanging="360"/>
      </w:pPr>
    </w:lvl>
    <w:lvl w:ilvl="1">
      <w:start w:val="1"/>
      <w:numFmt w:val="decimal"/>
      <w:lvlText w:val="%1.%2"/>
      <w:lvlJc w:val="left"/>
      <w:pPr>
        <w:ind w:left="785"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0">
    <w:nsid w:val="73CA509E"/>
    <w:multiLevelType w:val="multilevel"/>
    <w:tmpl w:val="EC9A9414"/>
    <w:lvl w:ilvl="0">
      <w:start w:val="7"/>
      <w:numFmt w:val="decimal"/>
      <w:lvlText w:val="%1"/>
      <w:lvlJc w:val="left"/>
      <w:pPr>
        <w:ind w:left="360" w:hanging="360"/>
      </w:pPr>
    </w:lvl>
    <w:lvl w:ilvl="1">
      <w:start w:val="9"/>
      <w:numFmt w:val="decimal"/>
      <w:lvlText w:val="%1.%2"/>
      <w:lvlJc w:val="left"/>
      <w:pPr>
        <w:ind w:left="785" w:hanging="36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51">
    <w:nsid w:val="7E8912F2"/>
    <w:multiLevelType w:val="multilevel"/>
    <w:tmpl w:val="0A5A64F0"/>
    <w:lvl w:ilvl="0">
      <w:start w:val="1"/>
      <w:numFmt w:val="decimal"/>
      <w:lvlText w:val="%1."/>
      <w:lvlJc w:val="left"/>
      <w:pPr>
        <w:ind w:left="644" w:hanging="359"/>
      </w:pPr>
      <w:rPr>
        <w:i w:val="0"/>
        <w:color w:val="000000"/>
      </w:rPr>
    </w:lvl>
    <w:lvl w:ilvl="1">
      <w:start w:val="1"/>
      <w:numFmt w:val="decimal"/>
      <w:lvlText w:val="%1.%2."/>
      <w:lvlJc w:val="left"/>
      <w:pPr>
        <w:ind w:left="716" w:hanging="432"/>
      </w:pPr>
      <w:rPr>
        <w:i w:val="0"/>
        <w:color w:val="000000"/>
      </w:rPr>
    </w:lvl>
    <w:lvl w:ilvl="2">
      <w:start w:val="1"/>
      <w:numFmt w:val="decimal"/>
      <w:lvlText w:val="%1.%2.%3."/>
      <w:lvlJc w:val="left"/>
      <w:pPr>
        <w:ind w:left="1922" w:hanging="504"/>
      </w:pPr>
      <w:rPr>
        <w:b w:val="0"/>
        <w:i w:val="0"/>
        <w:color w:val="000000"/>
      </w:rPr>
    </w:lvl>
    <w:lvl w:ilvl="3">
      <w:start w:val="1"/>
      <w:numFmt w:val="decimal"/>
      <w:lvlText w:val="%1.%2.%3.%4."/>
      <w:lvlJc w:val="left"/>
      <w:pPr>
        <w:ind w:left="2208" w:hanging="648"/>
      </w:pPr>
      <w:rPr>
        <w:b w:val="0"/>
        <w:i w:val="0"/>
        <w:sz w:val="20"/>
        <w:szCs w:val="20"/>
      </w:rPr>
    </w:lvl>
    <w:lvl w:ilvl="4">
      <w:start w:val="1"/>
      <w:numFmt w:val="decimal"/>
      <w:lvlText w:val="%1.%2.%3.%4.%5."/>
      <w:lvlJc w:val="left"/>
      <w:pPr>
        <w:ind w:left="2777"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0"/>
  </w:num>
  <w:num w:numId="3">
    <w:abstractNumId w:val="13"/>
  </w:num>
  <w:num w:numId="4">
    <w:abstractNumId w:val="25"/>
  </w:num>
  <w:num w:numId="5">
    <w:abstractNumId w:val="49"/>
  </w:num>
  <w:num w:numId="6">
    <w:abstractNumId w:val="47"/>
  </w:num>
  <w:num w:numId="7">
    <w:abstractNumId w:val="42"/>
  </w:num>
  <w:num w:numId="8">
    <w:abstractNumId w:val="32"/>
  </w:num>
  <w:num w:numId="9">
    <w:abstractNumId w:val="43"/>
  </w:num>
  <w:num w:numId="10">
    <w:abstractNumId w:val="50"/>
  </w:num>
  <w:num w:numId="11">
    <w:abstractNumId w:val="9"/>
  </w:num>
  <w:num w:numId="12">
    <w:abstractNumId w:val="11"/>
  </w:num>
  <w:num w:numId="13">
    <w:abstractNumId w:val="28"/>
  </w:num>
  <w:num w:numId="14">
    <w:abstractNumId w:val="5"/>
  </w:num>
  <w:num w:numId="15">
    <w:abstractNumId w:val="48"/>
  </w:num>
  <w:num w:numId="16">
    <w:abstractNumId w:val="41"/>
  </w:num>
  <w:num w:numId="17">
    <w:abstractNumId w:val="46"/>
  </w:num>
  <w:num w:numId="18">
    <w:abstractNumId w:val="19"/>
  </w:num>
  <w:num w:numId="19">
    <w:abstractNumId w:val="29"/>
  </w:num>
  <w:num w:numId="20">
    <w:abstractNumId w:val="34"/>
  </w:num>
  <w:num w:numId="21">
    <w:abstractNumId w:val="31"/>
  </w:num>
  <w:num w:numId="22">
    <w:abstractNumId w:val="35"/>
  </w:num>
  <w:num w:numId="23">
    <w:abstractNumId w:val="44"/>
  </w:num>
  <w:num w:numId="24">
    <w:abstractNumId w:val="1"/>
  </w:num>
  <w:num w:numId="25">
    <w:abstractNumId w:val="39"/>
  </w:num>
  <w:num w:numId="26">
    <w:abstractNumId w:val="27"/>
  </w:num>
  <w:num w:numId="27">
    <w:abstractNumId w:val="18"/>
  </w:num>
  <w:num w:numId="28">
    <w:abstractNumId w:val="20"/>
  </w:num>
  <w:num w:numId="29">
    <w:abstractNumId w:val="21"/>
  </w:num>
  <w:num w:numId="30">
    <w:abstractNumId w:val="22"/>
  </w:num>
  <w:num w:numId="31">
    <w:abstractNumId w:val="12"/>
  </w:num>
  <w:num w:numId="32">
    <w:abstractNumId w:val="24"/>
  </w:num>
  <w:num w:numId="33">
    <w:abstractNumId w:val="10"/>
  </w:num>
  <w:num w:numId="34">
    <w:abstractNumId w:val="38"/>
  </w:num>
  <w:num w:numId="35">
    <w:abstractNumId w:val="3"/>
  </w:num>
  <w:num w:numId="36">
    <w:abstractNumId w:val="40"/>
  </w:num>
  <w:num w:numId="37">
    <w:abstractNumId w:val="33"/>
  </w:num>
  <w:num w:numId="38">
    <w:abstractNumId w:val="2"/>
  </w:num>
  <w:num w:numId="39">
    <w:abstractNumId w:val="26"/>
  </w:num>
  <w:num w:numId="40">
    <w:abstractNumId w:val="23"/>
  </w:num>
  <w:num w:numId="41">
    <w:abstractNumId w:val="30"/>
  </w:num>
  <w:num w:numId="42">
    <w:abstractNumId w:val="45"/>
  </w:num>
  <w:num w:numId="43">
    <w:abstractNumId w:val="36"/>
  </w:num>
  <w:num w:numId="44">
    <w:abstractNumId w:val="51"/>
  </w:num>
  <w:num w:numId="45">
    <w:abstractNumId w:val="37"/>
  </w:num>
  <w:num w:numId="46">
    <w:abstractNumId w:val="16"/>
  </w:num>
  <w:num w:numId="47">
    <w:abstractNumId w:val="6"/>
  </w:num>
  <w:num w:numId="48">
    <w:abstractNumId w:val="14"/>
  </w:num>
  <w:num w:numId="49">
    <w:abstractNumId w:val="17"/>
  </w:num>
  <w:num w:numId="50">
    <w:abstractNumId w:val="4"/>
  </w:num>
  <w:num w:numId="51">
    <w:abstractNumId w:val="7"/>
  </w:num>
  <w:num w:numId="52">
    <w:abstractNumId w:val="8"/>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activeWritingStyle w:appName="MSWord" w:lang="pt-BR" w:vendorID="64" w:dllVersion="6" w:nlCheck="1" w:checkStyle="0"/>
  <w:activeWritingStyle w:appName="MSWord" w:lang="pt-BR" w:vendorID="64" w:dllVersion="0" w:nlCheck="1" w:checkStyle="0"/>
  <w:activeWritingStyle w:appName="MSWord" w:lang="pt-BR" w:vendorID="64" w:dllVersion="4096" w:nlCheck="1" w:checkStyle="0"/>
  <w:attachedTemplate r:id="rId1"/>
  <w:stylePaneFormatFilter w:val="3F04"/>
  <w:defaultTabStop w:val="708"/>
  <w:hyphenationZone w:val="425"/>
  <w:characterSpacingControl w:val="doNotCompress"/>
  <w:hdrShapeDefaults>
    <o:shapedefaults v:ext="edit" spidmax="33794"/>
  </w:hdrShapeDefaults>
  <w:footnotePr>
    <w:footnote w:id="0"/>
    <w:footnote w:id="1"/>
    <w:footnote w:id="2"/>
  </w:footnotePr>
  <w:endnotePr>
    <w:endnote w:id="0"/>
    <w:endnote w:id="1"/>
    <w:endnote w:id="2"/>
  </w:endnotePr>
  <w:compat/>
  <w:rsids>
    <w:rsidRoot w:val="00E264BC"/>
    <w:rsid w:val="000000EE"/>
    <w:rsid w:val="00000400"/>
    <w:rsid w:val="0000071E"/>
    <w:rsid w:val="00001089"/>
    <w:rsid w:val="00001ABE"/>
    <w:rsid w:val="0000236D"/>
    <w:rsid w:val="00003298"/>
    <w:rsid w:val="00003F8B"/>
    <w:rsid w:val="00005901"/>
    <w:rsid w:val="00005A68"/>
    <w:rsid w:val="00005C75"/>
    <w:rsid w:val="00006179"/>
    <w:rsid w:val="000069B4"/>
    <w:rsid w:val="000073F3"/>
    <w:rsid w:val="0000756E"/>
    <w:rsid w:val="00007E0D"/>
    <w:rsid w:val="00010C6A"/>
    <w:rsid w:val="0001427F"/>
    <w:rsid w:val="0001451E"/>
    <w:rsid w:val="000147C1"/>
    <w:rsid w:val="00014B1F"/>
    <w:rsid w:val="00015651"/>
    <w:rsid w:val="000156E9"/>
    <w:rsid w:val="0002260C"/>
    <w:rsid w:val="00022648"/>
    <w:rsid w:val="0002289A"/>
    <w:rsid w:val="000229B1"/>
    <w:rsid w:val="00022BA7"/>
    <w:rsid w:val="0002306D"/>
    <w:rsid w:val="000242C8"/>
    <w:rsid w:val="00025B38"/>
    <w:rsid w:val="00025E06"/>
    <w:rsid w:val="00027155"/>
    <w:rsid w:val="000277DE"/>
    <w:rsid w:val="0002784E"/>
    <w:rsid w:val="000318BA"/>
    <w:rsid w:val="00031E06"/>
    <w:rsid w:val="000322A8"/>
    <w:rsid w:val="00032EA8"/>
    <w:rsid w:val="00033DA9"/>
    <w:rsid w:val="00033E86"/>
    <w:rsid w:val="00034A29"/>
    <w:rsid w:val="00034FD6"/>
    <w:rsid w:val="0003743B"/>
    <w:rsid w:val="00037AFE"/>
    <w:rsid w:val="0004076C"/>
    <w:rsid w:val="00040957"/>
    <w:rsid w:val="00041176"/>
    <w:rsid w:val="00041517"/>
    <w:rsid w:val="0004226B"/>
    <w:rsid w:val="00042328"/>
    <w:rsid w:val="00042708"/>
    <w:rsid w:val="00042CB8"/>
    <w:rsid w:val="000438B3"/>
    <w:rsid w:val="00044685"/>
    <w:rsid w:val="0004478F"/>
    <w:rsid w:val="0004587A"/>
    <w:rsid w:val="00045EE0"/>
    <w:rsid w:val="00047D73"/>
    <w:rsid w:val="000501A4"/>
    <w:rsid w:val="000502FB"/>
    <w:rsid w:val="000509B0"/>
    <w:rsid w:val="00051782"/>
    <w:rsid w:val="00051F02"/>
    <w:rsid w:val="00052048"/>
    <w:rsid w:val="00055034"/>
    <w:rsid w:val="00055889"/>
    <w:rsid w:val="00055C19"/>
    <w:rsid w:val="00056433"/>
    <w:rsid w:val="000564D1"/>
    <w:rsid w:val="00056C6C"/>
    <w:rsid w:val="00060414"/>
    <w:rsid w:val="00060A78"/>
    <w:rsid w:val="00060B91"/>
    <w:rsid w:val="00062853"/>
    <w:rsid w:val="00064A73"/>
    <w:rsid w:val="0006537A"/>
    <w:rsid w:val="000662C1"/>
    <w:rsid w:val="00066368"/>
    <w:rsid w:val="000670EC"/>
    <w:rsid w:val="000677A2"/>
    <w:rsid w:val="00067B0A"/>
    <w:rsid w:val="00070375"/>
    <w:rsid w:val="0007075C"/>
    <w:rsid w:val="00070EA5"/>
    <w:rsid w:val="00071384"/>
    <w:rsid w:val="000725AE"/>
    <w:rsid w:val="00073004"/>
    <w:rsid w:val="00073596"/>
    <w:rsid w:val="00073852"/>
    <w:rsid w:val="0007625C"/>
    <w:rsid w:val="00076CBC"/>
    <w:rsid w:val="000779C7"/>
    <w:rsid w:val="00077F21"/>
    <w:rsid w:val="00080710"/>
    <w:rsid w:val="00081098"/>
    <w:rsid w:val="00081282"/>
    <w:rsid w:val="0008205E"/>
    <w:rsid w:val="000826B8"/>
    <w:rsid w:val="000839CF"/>
    <w:rsid w:val="000850DC"/>
    <w:rsid w:val="000879FB"/>
    <w:rsid w:val="00087EF2"/>
    <w:rsid w:val="00090D08"/>
    <w:rsid w:val="00090F5D"/>
    <w:rsid w:val="00092759"/>
    <w:rsid w:val="00092CA5"/>
    <w:rsid w:val="00093B86"/>
    <w:rsid w:val="00094321"/>
    <w:rsid w:val="000967EB"/>
    <w:rsid w:val="00096B41"/>
    <w:rsid w:val="000972D1"/>
    <w:rsid w:val="000A0129"/>
    <w:rsid w:val="000A0BAC"/>
    <w:rsid w:val="000A102A"/>
    <w:rsid w:val="000A1A7B"/>
    <w:rsid w:val="000A1B88"/>
    <w:rsid w:val="000A23DA"/>
    <w:rsid w:val="000A674F"/>
    <w:rsid w:val="000A6EF7"/>
    <w:rsid w:val="000A76B6"/>
    <w:rsid w:val="000A7A9F"/>
    <w:rsid w:val="000B01DF"/>
    <w:rsid w:val="000B49DC"/>
    <w:rsid w:val="000B56AB"/>
    <w:rsid w:val="000B7B55"/>
    <w:rsid w:val="000C123B"/>
    <w:rsid w:val="000C19B2"/>
    <w:rsid w:val="000C19BD"/>
    <w:rsid w:val="000C1A8D"/>
    <w:rsid w:val="000C21AD"/>
    <w:rsid w:val="000C26DD"/>
    <w:rsid w:val="000C2C16"/>
    <w:rsid w:val="000C40ED"/>
    <w:rsid w:val="000C5D14"/>
    <w:rsid w:val="000C6446"/>
    <w:rsid w:val="000C670A"/>
    <w:rsid w:val="000C7B49"/>
    <w:rsid w:val="000D2640"/>
    <w:rsid w:val="000D2AC3"/>
    <w:rsid w:val="000D3590"/>
    <w:rsid w:val="000D4D3E"/>
    <w:rsid w:val="000D5CAD"/>
    <w:rsid w:val="000E15DC"/>
    <w:rsid w:val="000E20A6"/>
    <w:rsid w:val="000E320E"/>
    <w:rsid w:val="000E3CC6"/>
    <w:rsid w:val="000E4F8C"/>
    <w:rsid w:val="000E5841"/>
    <w:rsid w:val="000E5ED5"/>
    <w:rsid w:val="000E6741"/>
    <w:rsid w:val="000E739A"/>
    <w:rsid w:val="000F03F6"/>
    <w:rsid w:val="000F104D"/>
    <w:rsid w:val="000F1C1C"/>
    <w:rsid w:val="000F4088"/>
    <w:rsid w:val="000F4577"/>
    <w:rsid w:val="000F4F96"/>
    <w:rsid w:val="000F5A07"/>
    <w:rsid w:val="00100606"/>
    <w:rsid w:val="00100990"/>
    <w:rsid w:val="0010099D"/>
    <w:rsid w:val="00102F0D"/>
    <w:rsid w:val="00102F2B"/>
    <w:rsid w:val="00103391"/>
    <w:rsid w:val="00103440"/>
    <w:rsid w:val="00103668"/>
    <w:rsid w:val="00105071"/>
    <w:rsid w:val="00105707"/>
    <w:rsid w:val="001103FF"/>
    <w:rsid w:val="00110DD6"/>
    <w:rsid w:val="00110EB6"/>
    <w:rsid w:val="001116F8"/>
    <w:rsid w:val="00111C8B"/>
    <w:rsid w:val="00113EEB"/>
    <w:rsid w:val="00115C30"/>
    <w:rsid w:val="0012102E"/>
    <w:rsid w:val="001219B0"/>
    <w:rsid w:val="00123693"/>
    <w:rsid w:val="001245D9"/>
    <w:rsid w:val="00124990"/>
    <w:rsid w:val="00124A63"/>
    <w:rsid w:val="00124F89"/>
    <w:rsid w:val="00125CCF"/>
    <w:rsid w:val="00126D51"/>
    <w:rsid w:val="0012744D"/>
    <w:rsid w:val="001274AB"/>
    <w:rsid w:val="00127D78"/>
    <w:rsid w:val="00127F0C"/>
    <w:rsid w:val="00130039"/>
    <w:rsid w:val="001304C0"/>
    <w:rsid w:val="001305E6"/>
    <w:rsid w:val="001315F2"/>
    <w:rsid w:val="00133A1F"/>
    <w:rsid w:val="00134694"/>
    <w:rsid w:val="0013520A"/>
    <w:rsid w:val="00135710"/>
    <w:rsid w:val="00136D43"/>
    <w:rsid w:val="0013709F"/>
    <w:rsid w:val="00137BE7"/>
    <w:rsid w:val="0014004B"/>
    <w:rsid w:val="00140584"/>
    <w:rsid w:val="00141189"/>
    <w:rsid w:val="001414AC"/>
    <w:rsid w:val="001419EE"/>
    <w:rsid w:val="00143238"/>
    <w:rsid w:val="0014325E"/>
    <w:rsid w:val="00143E29"/>
    <w:rsid w:val="001443B4"/>
    <w:rsid w:val="0014670B"/>
    <w:rsid w:val="00146BDF"/>
    <w:rsid w:val="00147291"/>
    <w:rsid w:val="00150295"/>
    <w:rsid w:val="001516EA"/>
    <w:rsid w:val="0015394F"/>
    <w:rsid w:val="00153E25"/>
    <w:rsid w:val="00154505"/>
    <w:rsid w:val="00155D25"/>
    <w:rsid w:val="0015684D"/>
    <w:rsid w:val="00160602"/>
    <w:rsid w:val="001608E4"/>
    <w:rsid w:val="00160BBD"/>
    <w:rsid w:val="00160DA4"/>
    <w:rsid w:val="00162DC6"/>
    <w:rsid w:val="00164870"/>
    <w:rsid w:val="00165577"/>
    <w:rsid w:val="0016584A"/>
    <w:rsid w:val="0016592C"/>
    <w:rsid w:val="0016603C"/>
    <w:rsid w:val="00166516"/>
    <w:rsid w:val="00166820"/>
    <w:rsid w:val="00170173"/>
    <w:rsid w:val="00170CE1"/>
    <w:rsid w:val="0017284B"/>
    <w:rsid w:val="0017326E"/>
    <w:rsid w:val="00174CAA"/>
    <w:rsid w:val="00174F1B"/>
    <w:rsid w:val="00175B9C"/>
    <w:rsid w:val="00177958"/>
    <w:rsid w:val="00177CD5"/>
    <w:rsid w:val="0018179A"/>
    <w:rsid w:val="001817D2"/>
    <w:rsid w:val="00181E1F"/>
    <w:rsid w:val="0018218A"/>
    <w:rsid w:val="00182912"/>
    <w:rsid w:val="00182F48"/>
    <w:rsid w:val="00184086"/>
    <w:rsid w:val="00184618"/>
    <w:rsid w:val="00184919"/>
    <w:rsid w:val="00185D44"/>
    <w:rsid w:val="001904A8"/>
    <w:rsid w:val="0019277B"/>
    <w:rsid w:val="001937C4"/>
    <w:rsid w:val="00193B6D"/>
    <w:rsid w:val="00194118"/>
    <w:rsid w:val="001979BA"/>
    <w:rsid w:val="001A1732"/>
    <w:rsid w:val="001A20E8"/>
    <w:rsid w:val="001A2CE9"/>
    <w:rsid w:val="001A3A05"/>
    <w:rsid w:val="001A3E18"/>
    <w:rsid w:val="001A43DE"/>
    <w:rsid w:val="001A4748"/>
    <w:rsid w:val="001A570F"/>
    <w:rsid w:val="001B005B"/>
    <w:rsid w:val="001B1079"/>
    <w:rsid w:val="001B129F"/>
    <w:rsid w:val="001B2A3F"/>
    <w:rsid w:val="001B7184"/>
    <w:rsid w:val="001B7FE6"/>
    <w:rsid w:val="001C3F32"/>
    <w:rsid w:val="001C48B6"/>
    <w:rsid w:val="001C4C04"/>
    <w:rsid w:val="001C57FF"/>
    <w:rsid w:val="001C694F"/>
    <w:rsid w:val="001C70DB"/>
    <w:rsid w:val="001C721E"/>
    <w:rsid w:val="001C7BDC"/>
    <w:rsid w:val="001D288E"/>
    <w:rsid w:val="001D2C58"/>
    <w:rsid w:val="001D3951"/>
    <w:rsid w:val="001D3ED8"/>
    <w:rsid w:val="001D4EF3"/>
    <w:rsid w:val="001D651E"/>
    <w:rsid w:val="001D7B52"/>
    <w:rsid w:val="001E053E"/>
    <w:rsid w:val="001E1335"/>
    <w:rsid w:val="001E2579"/>
    <w:rsid w:val="001E269C"/>
    <w:rsid w:val="001E37C5"/>
    <w:rsid w:val="001E3AAF"/>
    <w:rsid w:val="001E52DF"/>
    <w:rsid w:val="001F0A6E"/>
    <w:rsid w:val="001F0D23"/>
    <w:rsid w:val="001F28BE"/>
    <w:rsid w:val="001F39FA"/>
    <w:rsid w:val="001F5154"/>
    <w:rsid w:val="001F6A1C"/>
    <w:rsid w:val="001F6C44"/>
    <w:rsid w:val="00200097"/>
    <w:rsid w:val="00201BC1"/>
    <w:rsid w:val="00202234"/>
    <w:rsid w:val="00202A04"/>
    <w:rsid w:val="00202DBE"/>
    <w:rsid w:val="00203041"/>
    <w:rsid w:val="00203BD2"/>
    <w:rsid w:val="00205197"/>
    <w:rsid w:val="0020593D"/>
    <w:rsid w:val="002059A3"/>
    <w:rsid w:val="002059AC"/>
    <w:rsid w:val="00206083"/>
    <w:rsid w:val="00206480"/>
    <w:rsid w:val="002070F6"/>
    <w:rsid w:val="00207B98"/>
    <w:rsid w:val="00210001"/>
    <w:rsid w:val="002105DC"/>
    <w:rsid w:val="0021106D"/>
    <w:rsid w:val="0021198F"/>
    <w:rsid w:val="00211C19"/>
    <w:rsid w:val="00211F6A"/>
    <w:rsid w:val="00212535"/>
    <w:rsid w:val="00213E32"/>
    <w:rsid w:val="00214276"/>
    <w:rsid w:val="00216492"/>
    <w:rsid w:val="0021698A"/>
    <w:rsid w:val="00216AA5"/>
    <w:rsid w:val="00216D15"/>
    <w:rsid w:val="00220307"/>
    <w:rsid w:val="00221A22"/>
    <w:rsid w:val="00221BA5"/>
    <w:rsid w:val="002222F6"/>
    <w:rsid w:val="002225FD"/>
    <w:rsid w:val="00222980"/>
    <w:rsid w:val="0022333F"/>
    <w:rsid w:val="002241A2"/>
    <w:rsid w:val="0022617E"/>
    <w:rsid w:val="00226320"/>
    <w:rsid w:val="002273DE"/>
    <w:rsid w:val="00231E9C"/>
    <w:rsid w:val="00232D26"/>
    <w:rsid w:val="002345B4"/>
    <w:rsid w:val="00236150"/>
    <w:rsid w:val="00236EF6"/>
    <w:rsid w:val="00240B17"/>
    <w:rsid w:val="00241D78"/>
    <w:rsid w:val="0024516A"/>
    <w:rsid w:val="00245337"/>
    <w:rsid w:val="00245C2C"/>
    <w:rsid w:val="00246DAE"/>
    <w:rsid w:val="00250C01"/>
    <w:rsid w:val="002521DC"/>
    <w:rsid w:val="002538B4"/>
    <w:rsid w:val="002538E3"/>
    <w:rsid w:val="00255593"/>
    <w:rsid w:val="00255907"/>
    <w:rsid w:val="00255C24"/>
    <w:rsid w:val="002574DA"/>
    <w:rsid w:val="00257699"/>
    <w:rsid w:val="0026009E"/>
    <w:rsid w:val="0026065F"/>
    <w:rsid w:val="00260802"/>
    <w:rsid w:val="002617C8"/>
    <w:rsid w:val="002617F3"/>
    <w:rsid w:val="00261A38"/>
    <w:rsid w:val="0026386A"/>
    <w:rsid w:val="00263A2E"/>
    <w:rsid w:val="00267125"/>
    <w:rsid w:val="00267B22"/>
    <w:rsid w:val="00270642"/>
    <w:rsid w:val="0027097C"/>
    <w:rsid w:val="00270DCA"/>
    <w:rsid w:val="00271CB6"/>
    <w:rsid w:val="002722EA"/>
    <w:rsid w:val="00272E2D"/>
    <w:rsid w:val="0027301A"/>
    <w:rsid w:val="00274FAF"/>
    <w:rsid w:val="00276ECC"/>
    <w:rsid w:val="00277FA1"/>
    <w:rsid w:val="00280436"/>
    <w:rsid w:val="00280846"/>
    <w:rsid w:val="00281E5E"/>
    <w:rsid w:val="00282AC5"/>
    <w:rsid w:val="00283BFE"/>
    <w:rsid w:val="002840F4"/>
    <w:rsid w:val="002846DD"/>
    <w:rsid w:val="00285983"/>
    <w:rsid w:val="00286AD9"/>
    <w:rsid w:val="00286AF4"/>
    <w:rsid w:val="0028765E"/>
    <w:rsid w:val="0028769B"/>
    <w:rsid w:val="00287BB2"/>
    <w:rsid w:val="0029037D"/>
    <w:rsid w:val="002906AC"/>
    <w:rsid w:val="00290CB8"/>
    <w:rsid w:val="002911C7"/>
    <w:rsid w:val="00291936"/>
    <w:rsid w:val="00291A77"/>
    <w:rsid w:val="00291ABA"/>
    <w:rsid w:val="00292A58"/>
    <w:rsid w:val="00293449"/>
    <w:rsid w:val="002937D4"/>
    <w:rsid w:val="00293FFC"/>
    <w:rsid w:val="00294348"/>
    <w:rsid w:val="00294C1A"/>
    <w:rsid w:val="00294EF2"/>
    <w:rsid w:val="002950EF"/>
    <w:rsid w:val="002A046D"/>
    <w:rsid w:val="002A17C6"/>
    <w:rsid w:val="002A1D8D"/>
    <w:rsid w:val="002A2D9D"/>
    <w:rsid w:val="002A3346"/>
    <w:rsid w:val="002A33D5"/>
    <w:rsid w:val="002A4212"/>
    <w:rsid w:val="002A50DF"/>
    <w:rsid w:val="002A545E"/>
    <w:rsid w:val="002A5B83"/>
    <w:rsid w:val="002A7034"/>
    <w:rsid w:val="002A7E55"/>
    <w:rsid w:val="002B0CB2"/>
    <w:rsid w:val="002B138E"/>
    <w:rsid w:val="002B2541"/>
    <w:rsid w:val="002B39B4"/>
    <w:rsid w:val="002B3F95"/>
    <w:rsid w:val="002B50AB"/>
    <w:rsid w:val="002B5E72"/>
    <w:rsid w:val="002B60CC"/>
    <w:rsid w:val="002C006A"/>
    <w:rsid w:val="002C54C1"/>
    <w:rsid w:val="002C5E97"/>
    <w:rsid w:val="002C661C"/>
    <w:rsid w:val="002D04FB"/>
    <w:rsid w:val="002D0F7F"/>
    <w:rsid w:val="002D1B50"/>
    <w:rsid w:val="002D78B4"/>
    <w:rsid w:val="002D7C8E"/>
    <w:rsid w:val="002E160F"/>
    <w:rsid w:val="002E3B9D"/>
    <w:rsid w:val="002E3EEA"/>
    <w:rsid w:val="002E3F91"/>
    <w:rsid w:val="002E40C5"/>
    <w:rsid w:val="002E4709"/>
    <w:rsid w:val="002E480D"/>
    <w:rsid w:val="002E50EE"/>
    <w:rsid w:val="002E544D"/>
    <w:rsid w:val="002E5F6B"/>
    <w:rsid w:val="002E60B3"/>
    <w:rsid w:val="002E6DA0"/>
    <w:rsid w:val="002E7544"/>
    <w:rsid w:val="002E7C0B"/>
    <w:rsid w:val="002E7F19"/>
    <w:rsid w:val="002F084D"/>
    <w:rsid w:val="002F0A9A"/>
    <w:rsid w:val="002F1CE6"/>
    <w:rsid w:val="002F308B"/>
    <w:rsid w:val="002F3B04"/>
    <w:rsid w:val="002F4811"/>
    <w:rsid w:val="002F48A7"/>
    <w:rsid w:val="002F6A58"/>
    <w:rsid w:val="002F717F"/>
    <w:rsid w:val="002F7EB1"/>
    <w:rsid w:val="0030104A"/>
    <w:rsid w:val="00302138"/>
    <w:rsid w:val="00303864"/>
    <w:rsid w:val="00304AEA"/>
    <w:rsid w:val="00304B56"/>
    <w:rsid w:val="003109E1"/>
    <w:rsid w:val="00310B4A"/>
    <w:rsid w:val="003128FF"/>
    <w:rsid w:val="003141E8"/>
    <w:rsid w:val="00314264"/>
    <w:rsid w:val="00314319"/>
    <w:rsid w:val="00315A92"/>
    <w:rsid w:val="00315CA8"/>
    <w:rsid w:val="00316F30"/>
    <w:rsid w:val="003201C9"/>
    <w:rsid w:val="0032192E"/>
    <w:rsid w:val="00321A1D"/>
    <w:rsid w:val="003238C3"/>
    <w:rsid w:val="00324781"/>
    <w:rsid w:val="00324BCD"/>
    <w:rsid w:val="00324F30"/>
    <w:rsid w:val="00325023"/>
    <w:rsid w:val="0032533F"/>
    <w:rsid w:val="00325FD8"/>
    <w:rsid w:val="003265B9"/>
    <w:rsid w:val="00327232"/>
    <w:rsid w:val="00330864"/>
    <w:rsid w:val="00331182"/>
    <w:rsid w:val="003321CE"/>
    <w:rsid w:val="00332C60"/>
    <w:rsid w:val="00333D81"/>
    <w:rsid w:val="003342E1"/>
    <w:rsid w:val="0033550F"/>
    <w:rsid w:val="0033678D"/>
    <w:rsid w:val="00340692"/>
    <w:rsid w:val="00340EE0"/>
    <w:rsid w:val="00340FFA"/>
    <w:rsid w:val="003419CB"/>
    <w:rsid w:val="00342322"/>
    <w:rsid w:val="00342A21"/>
    <w:rsid w:val="00342AA1"/>
    <w:rsid w:val="00343032"/>
    <w:rsid w:val="00343DE8"/>
    <w:rsid w:val="003442D0"/>
    <w:rsid w:val="00344637"/>
    <w:rsid w:val="00344BEF"/>
    <w:rsid w:val="00344C69"/>
    <w:rsid w:val="00344DF5"/>
    <w:rsid w:val="00344F82"/>
    <w:rsid w:val="0034783E"/>
    <w:rsid w:val="00350615"/>
    <w:rsid w:val="00350BED"/>
    <w:rsid w:val="00350E1F"/>
    <w:rsid w:val="0035452C"/>
    <w:rsid w:val="00354B78"/>
    <w:rsid w:val="00355EDF"/>
    <w:rsid w:val="0035658A"/>
    <w:rsid w:val="00360501"/>
    <w:rsid w:val="00361551"/>
    <w:rsid w:val="003639AA"/>
    <w:rsid w:val="00363E13"/>
    <w:rsid w:val="00364141"/>
    <w:rsid w:val="00364F4B"/>
    <w:rsid w:val="003664F7"/>
    <w:rsid w:val="00366705"/>
    <w:rsid w:val="00367D72"/>
    <w:rsid w:val="00367EF6"/>
    <w:rsid w:val="00370241"/>
    <w:rsid w:val="0037125D"/>
    <w:rsid w:val="00371EF6"/>
    <w:rsid w:val="00372512"/>
    <w:rsid w:val="00373F2A"/>
    <w:rsid w:val="00373F2B"/>
    <w:rsid w:val="003778BE"/>
    <w:rsid w:val="003779A2"/>
    <w:rsid w:val="0038139C"/>
    <w:rsid w:val="00383436"/>
    <w:rsid w:val="00383B90"/>
    <w:rsid w:val="00384CB4"/>
    <w:rsid w:val="003859E2"/>
    <w:rsid w:val="00386157"/>
    <w:rsid w:val="003863B6"/>
    <w:rsid w:val="00386912"/>
    <w:rsid w:val="00386ADE"/>
    <w:rsid w:val="00390D0A"/>
    <w:rsid w:val="00391AB2"/>
    <w:rsid w:val="00391E14"/>
    <w:rsid w:val="00392E95"/>
    <w:rsid w:val="00393C0E"/>
    <w:rsid w:val="003945AA"/>
    <w:rsid w:val="0039545C"/>
    <w:rsid w:val="003959F6"/>
    <w:rsid w:val="00396DE4"/>
    <w:rsid w:val="00396E8A"/>
    <w:rsid w:val="003A05B0"/>
    <w:rsid w:val="003A0AD2"/>
    <w:rsid w:val="003A0D0D"/>
    <w:rsid w:val="003A1ED1"/>
    <w:rsid w:val="003A4870"/>
    <w:rsid w:val="003A4E63"/>
    <w:rsid w:val="003A73C1"/>
    <w:rsid w:val="003A7599"/>
    <w:rsid w:val="003A7B29"/>
    <w:rsid w:val="003B01FD"/>
    <w:rsid w:val="003B09A5"/>
    <w:rsid w:val="003B09CB"/>
    <w:rsid w:val="003B0D27"/>
    <w:rsid w:val="003B219B"/>
    <w:rsid w:val="003B3A4B"/>
    <w:rsid w:val="003B479C"/>
    <w:rsid w:val="003B48C0"/>
    <w:rsid w:val="003B55DE"/>
    <w:rsid w:val="003B74E1"/>
    <w:rsid w:val="003B791E"/>
    <w:rsid w:val="003C0AA6"/>
    <w:rsid w:val="003C1379"/>
    <w:rsid w:val="003C181E"/>
    <w:rsid w:val="003C2524"/>
    <w:rsid w:val="003C493E"/>
    <w:rsid w:val="003C4C35"/>
    <w:rsid w:val="003C576A"/>
    <w:rsid w:val="003C609E"/>
    <w:rsid w:val="003C6275"/>
    <w:rsid w:val="003C62F2"/>
    <w:rsid w:val="003C6615"/>
    <w:rsid w:val="003C6AD6"/>
    <w:rsid w:val="003D2C66"/>
    <w:rsid w:val="003D47AF"/>
    <w:rsid w:val="003D4C30"/>
    <w:rsid w:val="003D57A2"/>
    <w:rsid w:val="003D729D"/>
    <w:rsid w:val="003D7BC9"/>
    <w:rsid w:val="003E036D"/>
    <w:rsid w:val="003E1085"/>
    <w:rsid w:val="003E26F1"/>
    <w:rsid w:val="003E4927"/>
    <w:rsid w:val="003E4D76"/>
    <w:rsid w:val="003E5379"/>
    <w:rsid w:val="003E55B1"/>
    <w:rsid w:val="003E6D56"/>
    <w:rsid w:val="003F004A"/>
    <w:rsid w:val="003F039A"/>
    <w:rsid w:val="003F0AE3"/>
    <w:rsid w:val="003F11D8"/>
    <w:rsid w:val="003F1437"/>
    <w:rsid w:val="003F185C"/>
    <w:rsid w:val="003F2446"/>
    <w:rsid w:val="003F367F"/>
    <w:rsid w:val="003F36A3"/>
    <w:rsid w:val="003F6E6A"/>
    <w:rsid w:val="003F6F05"/>
    <w:rsid w:val="003F7409"/>
    <w:rsid w:val="003F7C89"/>
    <w:rsid w:val="00400200"/>
    <w:rsid w:val="004011D9"/>
    <w:rsid w:val="00401A9B"/>
    <w:rsid w:val="004021DF"/>
    <w:rsid w:val="004036E0"/>
    <w:rsid w:val="004037DD"/>
    <w:rsid w:val="00403EDC"/>
    <w:rsid w:val="00404065"/>
    <w:rsid w:val="0040443F"/>
    <w:rsid w:val="004053E1"/>
    <w:rsid w:val="0040596A"/>
    <w:rsid w:val="00406952"/>
    <w:rsid w:val="00407481"/>
    <w:rsid w:val="00407603"/>
    <w:rsid w:val="004076F7"/>
    <w:rsid w:val="00407F1C"/>
    <w:rsid w:val="00412C7A"/>
    <w:rsid w:val="00413089"/>
    <w:rsid w:val="0041506F"/>
    <w:rsid w:val="00415D0B"/>
    <w:rsid w:val="00415F27"/>
    <w:rsid w:val="00416A59"/>
    <w:rsid w:val="00416D8E"/>
    <w:rsid w:val="00417CA8"/>
    <w:rsid w:val="00420140"/>
    <w:rsid w:val="0042080B"/>
    <w:rsid w:val="00421408"/>
    <w:rsid w:val="0042190C"/>
    <w:rsid w:val="00422721"/>
    <w:rsid w:val="004230C2"/>
    <w:rsid w:val="00424113"/>
    <w:rsid w:val="004246E7"/>
    <w:rsid w:val="004247FE"/>
    <w:rsid w:val="00425359"/>
    <w:rsid w:val="00427410"/>
    <w:rsid w:val="00427A6C"/>
    <w:rsid w:val="004307A2"/>
    <w:rsid w:val="00431629"/>
    <w:rsid w:val="004316D7"/>
    <w:rsid w:val="00431EDA"/>
    <w:rsid w:val="00431F33"/>
    <w:rsid w:val="0043231C"/>
    <w:rsid w:val="00432470"/>
    <w:rsid w:val="00432837"/>
    <w:rsid w:val="00435447"/>
    <w:rsid w:val="00435EA4"/>
    <w:rsid w:val="00435EDE"/>
    <w:rsid w:val="004370AA"/>
    <w:rsid w:val="00441A6B"/>
    <w:rsid w:val="00441EA1"/>
    <w:rsid w:val="00442605"/>
    <w:rsid w:val="00445418"/>
    <w:rsid w:val="0044564C"/>
    <w:rsid w:val="00445798"/>
    <w:rsid w:val="0044725C"/>
    <w:rsid w:val="00447465"/>
    <w:rsid w:val="004505C1"/>
    <w:rsid w:val="00450CD0"/>
    <w:rsid w:val="00452011"/>
    <w:rsid w:val="00453647"/>
    <w:rsid w:val="0045384E"/>
    <w:rsid w:val="004546BE"/>
    <w:rsid w:val="004549EA"/>
    <w:rsid w:val="00454CC0"/>
    <w:rsid w:val="0045541D"/>
    <w:rsid w:val="00455AB5"/>
    <w:rsid w:val="00455CBE"/>
    <w:rsid w:val="00455EB7"/>
    <w:rsid w:val="00455FD5"/>
    <w:rsid w:val="00457B6F"/>
    <w:rsid w:val="00457CC6"/>
    <w:rsid w:val="004602E1"/>
    <w:rsid w:val="00460E8A"/>
    <w:rsid w:val="00461B9F"/>
    <w:rsid w:val="0046230A"/>
    <w:rsid w:val="004629B8"/>
    <w:rsid w:val="00462C95"/>
    <w:rsid w:val="00462E4C"/>
    <w:rsid w:val="004634B2"/>
    <w:rsid w:val="00463B0A"/>
    <w:rsid w:val="0046486A"/>
    <w:rsid w:val="004649EB"/>
    <w:rsid w:val="00464AAF"/>
    <w:rsid w:val="00464D4C"/>
    <w:rsid w:val="00464FEC"/>
    <w:rsid w:val="004653C5"/>
    <w:rsid w:val="00465909"/>
    <w:rsid w:val="00467518"/>
    <w:rsid w:val="00471425"/>
    <w:rsid w:val="004728ED"/>
    <w:rsid w:val="004737D0"/>
    <w:rsid w:val="00475ACE"/>
    <w:rsid w:val="004773FC"/>
    <w:rsid w:val="00480328"/>
    <w:rsid w:val="004804EA"/>
    <w:rsid w:val="0048110E"/>
    <w:rsid w:val="00481683"/>
    <w:rsid w:val="00482AA9"/>
    <w:rsid w:val="004834FC"/>
    <w:rsid w:val="00483B15"/>
    <w:rsid w:val="00483FB9"/>
    <w:rsid w:val="00485171"/>
    <w:rsid w:val="00486C44"/>
    <w:rsid w:val="0049237B"/>
    <w:rsid w:val="00492E29"/>
    <w:rsid w:val="00494AE7"/>
    <w:rsid w:val="00496877"/>
    <w:rsid w:val="004A03F8"/>
    <w:rsid w:val="004A13C4"/>
    <w:rsid w:val="004A1BC0"/>
    <w:rsid w:val="004A57F5"/>
    <w:rsid w:val="004A5D92"/>
    <w:rsid w:val="004A68E6"/>
    <w:rsid w:val="004A7BBC"/>
    <w:rsid w:val="004A7DEB"/>
    <w:rsid w:val="004B05B0"/>
    <w:rsid w:val="004B0CAC"/>
    <w:rsid w:val="004B18C5"/>
    <w:rsid w:val="004B19B5"/>
    <w:rsid w:val="004B1D7D"/>
    <w:rsid w:val="004B3088"/>
    <w:rsid w:val="004B37BA"/>
    <w:rsid w:val="004B3A83"/>
    <w:rsid w:val="004B460A"/>
    <w:rsid w:val="004B68C4"/>
    <w:rsid w:val="004B6B1E"/>
    <w:rsid w:val="004C0212"/>
    <w:rsid w:val="004C05F9"/>
    <w:rsid w:val="004C0B32"/>
    <w:rsid w:val="004C2BFF"/>
    <w:rsid w:val="004C2EE4"/>
    <w:rsid w:val="004C41A0"/>
    <w:rsid w:val="004C49F0"/>
    <w:rsid w:val="004C52CE"/>
    <w:rsid w:val="004C7A61"/>
    <w:rsid w:val="004D3268"/>
    <w:rsid w:val="004D374E"/>
    <w:rsid w:val="004D39AE"/>
    <w:rsid w:val="004D5552"/>
    <w:rsid w:val="004D6DCA"/>
    <w:rsid w:val="004D7205"/>
    <w:rsid w:val="004D77CE"/>
    <w:rsid w:val="004E0194"/>
    <w:rsid w:val="004E2404"/>
    <w:rsid w:val="004E4A16"/>
    <w:rsid w:val="004E52AA"/>
    <w:rsid w:val="004E54DA"/>
    <w:rsid w:val="004E5811"/>
    <w:rsid w:val="004E6591"/>
    <w:rsid w:val="004E6FA6"/>
    <w:rsid w:val="004F0C21"/>
    <w:rsid w:val="004F1177"/>
    <w:rsid w:val="004F20C3"/>
    <w:rsid w:val="004F2E9D"/>
    <w:rsid w:val="004F45F2"/>
    <w:rsid w:val="004F563A"/>
    <w:rsid w:val="004F5DF9"/>
    <w:rsid w:val="004F6042"/>
    <w:rsid w:val="004F66B4"/>
    <w:rsid w:val="004F6C38"/>
    <w:rsid w:val="004F737D"/>
    <w:rsid w:val="004F78C6"/>
    <w:rsid w:val="0050032A"/>
    <w:rsid w:val="00500584"/>
    <w:rsid w:val="0050139A"/>
    <w:rsid w:val="005014F9"/>
    <w:rsid w:val="0050224C"/>
    <w:rsid w:val="005024BD"/>
    <w:rsid w:val="0050256B"/>
    <w:rsid w:val="0050369D"/>
    <w:rsid w:val="005037A6"/>
    <w:rsid w:val="005076BB"/>
    <w:rsid w:val="00512D53"/>
    <w:rsid w:val="005132A8"/>
    <w:rsid w:val="00513768"/>
    <w:rsid w:val="00513C6E"/>
    <w:rsid w:val="0051477F"/>
    <w:rsid w:val="00514883"/>
    <w:rsid w:val="0051674B"/>
    <w:rsid w:val="00516EEE"/>
    <w:rsid w:val="00516F69"/>
    <w:rsid w:val="00516FFE"/>
    <w:rsid w:val="005175CE"/>
    <w:rsid w:val="00520D64"/>
    <w:rsid w:val="00523A67"/>
    <w:rsid w:val="005259D4"/>
    <w:rsid w:val="00525A84"/>
    <w:rsid w:val="00526C3D"/>
    <w:rsid w:val="00530AE8"/>
    <w:rsid w:val="0053132E"/>
    <w:rsid w:val="00533750"/>
    <w:rsid w:val="005338DF"/>
    <w:rsid w:val="00534004"/>
    <w:rsid w:val="0053498D"/>
    <w:rsid w:val="00534B33"/>
    <w:rsid w:val="005356C1"/>
    <w:rsid w:val="00536923"/>
    <w:rsid w:val="00537099"/>
    <w:rsid w:val="005402E7"/>
    <w:rsid w:val="00540A4E"/>
    <w:rsid w:val="0054384E"/>
    <w:rsid w:val="00544C09"/>
    <w:rsid w:val="00544DE1"/>
    <w:rsid w:val="00550449"/>
    <w:rsid w:val="00551F75"/>
    <w:rsid w:val="00552879"/>
    <w:rsid w:val="00554F4E"/>
    <w:rsid w:val="00555496"/>
    <w:rsid w:val="00557434"/>
    <w:rsid w:val="00557B3A"/>
    <w:rsid w:val="0056038A"/>
    <w:rsid w:val="0056091A"/>
    <w:rsid w:val="005616A8"/>
    <w:rsid w:val="00561C04"/>
    <w:rsid w:val="0056213B"/>
    <w:rsid w:val="00562F82"/>
    <w:rsid w:val="00564913"/>
    <w:rsid w:val="00567F03"/>
    <w:rsid w:val="00570DD6"/>
    <w:rsid w:val="00575FA2"/>
    <w:rsid w:val="005762B2"/>
    <w:rsid w:val="00577B8D"/>
    <w:rsid w:val="005800D8"/>
    <w:rsid w:val="00580C15"/>
    <w:rsid w:val="00581347"/>
    <w:rsid w:val="005817F5"/>
    <w:rsid w:val="00581981"/>
    <w:rsid w:val="00581EA5"/>
    <w:rsid w:val="0058251E"/>
    <w:rsid w:val="005846C9"/>
    <w:rsid w:val="00585EEB"/>
    <w:rsid w:val="00586906"/>
    <w:rsid w:val="005873FC"/>
    <w:rsid w:val="00590646"/>
    <w:rsid w:val="00590EAF"/>
    <w:rsid w:val="00591ADF"/>
    <w:rsid w:val="00592626"/>
    <w:rsid w:val="005926A6"/>
    <w:rsid w:val="00592FEA"/>
    <w:rsid w:val="00593A7A"/>
    <w:rsid w:val="005941CA"/>
    <w:rsid w:val="00594E93"/>
    <w:rsid w:val="005954DF"/>
    <w:rsid w:val="005957DD"/>
    <w:rsid w:val="00595A2C"/>
    <w:rsid w:val="00595DA6"/>
    <w:rsid w:val="005966BB"/>
    <w:rsid w:val="00596FD8"/>
    <w:rsid w:val="00597898"/>
    <w:rsid w:val="005A0C51"/>
    <w:rsid w:val="005A3F8A"/>
    <w:rsid w:val="005A510C"/>
    <w:rsid w:val="005A511F"/>
    <w:rsid w:val="005A6547"/>
    <w:rsid w:val="005A6A91"/>
    <w:rsid w:val="005A6F0A"/>
    <w:rsid w:val="005B0066"/>
    <w:rsid w:val="005B09C8"/>
    <w:rsid w:val="005B10E5"/>
    <w:rsid w:val="005B12EE"/>
    <w:rsid w:val="005B1C59"/>
    <w:rsid w:val="005B20BB"/>
    <w:rsid w:val="005B4E4C"/>
    <w:rsid w:val="005B511B"/>
    <w:rsid w:val="005B5788"/>
    <w:rsid w:val="005B58F0"/>
    <w:rsid w:val="005B654A"/>
    <w:rsid w:val="005B6D5A"/>
    <w:rsid w:val="005B7C12"/>
    <w:rsid w:val="005C1659"/>
    <w:rsid w:val="005C25B5"/>
    <w:rsid w:val="005C36F8"/>
    <w:rsid w:val="005C3930"/>
    <w:rsid w:val="005C434E"/>
    <w:rsid w:val="005C4D70"/>
    <w:rsid w:val="005C52BD"/>
    <w:rsid w:val="005C5BB0"/>
    <w:rsid w:val="005C6D5D"/>
    <w:rsid w:val="005C7669"/>
    <w:rsid w:val="005C76D8"/>
    <w:rsid w:val="005C7DCE"/>
    <w:rsid w:val="005D0DD1"/>
    <w:rsid w:val="005D0FB4"/>
    <w:rsid w:val="005D14BE"/>
    <w:rsid w:val="005D1FC2"/>
    <w:rsid w:val="005D2ACC"/>
    <w:rsid w:val="005D3030"/>
    <w:rsid w:val="005D588B"/>
    <w:rsid w:val="005E08E2"/>
    <w:rsid w:val="005E1321"/>
    <w:rsid w:val="005E1666"/>
    <w:rsid w:val="005E1C1D"/>
    <w:rsid w:val="005E2DD4"/>
    <w:rsid w:val="005E37A0"/>
    <w:rsid w:val="005E47F7"/>
    <w:rsid w:val="005E5528"/>
    <w:rsid w:val="005E6D43"/>
    <w:rsid w:val="005E7043"/>
    <w:rsid w:val="005F0676"/>
    <w:rsid w:val="005F2122"/>
    <w:rsid w:val="005F3E57"/>
    <w:rsid w:val="005F4215"/>
    <w:rsid w:val="005F435C"/>
    <w:rsid w:val="005F51D4"/>
    <w:rsid w:val="005F65EF"/>
    <w:rsid w:val="005F6F64"/>
    <w:rsid w:val="005F7B0A"/>
    <w:rsid w:val="005F7B7B"/>
    <w:rsid w:val="0060085B"/>
    <w:rsid w:val="00600BC4"/>
    <w:rsid w:val="00600BD2"/>
    <w:rsid w:val="00600E5C"/>
    <w:rsid w:val="006010E1"/>
    <w:rsid w:val="00603459"/>
    <w:rsid w:val="00604277"/>
    <w:rsid w:val="00604447"/>
    <w:rsid w:val="00604DC9"/>
    <w:rsid w:val="00605362"/>
    <w:rsid w:val="0060537D"/>
    <w:rsid w:val="00605C11"/>
    <w:rsid w:val="00605D96"/>
    <w:rsid w:val="00606440"/>
    <w:rsid w:val="006078C2"/>
    <w:rsid w:val="0061085F"/>
    <w:rsid w:val="006113BA"/>
    <w:rsid w:val="00611899"/>
    <w:rsid w:val="0061210A"/>
    <w:rsid w:val="006126A1"/>
    <w:rsid w:val="00612ECF"/>
    <w:rsid w:val="00613130"/>
    <w:rsid w:val="006135AD"/>
    <w:rsid w:val="00613B56"/>
    <w:rsid w:val="00614438"/>
    <w:rsid w:val="00615222"/>
    <w:rsid w:val="00616835"/>
    <w:rsid w:val="00616E23"/>
    <w:rsid w:val="006171A9"/>
    <w:rsid w:val="00617518"/>
    <w:rsid w:val="00620648"/>
    <w:rsid w:val="00620C94"/>
    <w:rsid w:val="006210D6"/>
    <w:rsid w:val="00621203"/>
    <w:rsid w:val="006217A6"/>
    <w:rsid w:val="006219D6"/>
    <w:rsid w:val="00622B52"/>
    <w:rsid w:val="00622E87"/>
    <w:rsid w:val="00623436"/>
    <w:rsid w:val="00623498"/>
    <w:rsid w:val="006236D8"/>
    <w:rsid w:val="00624A64"/>
    <w:rsid w:val="00625595"/>
    <w:rsid w:val="006260A4"/>
    <w:rsid w:val="00626903"/>
    <w:rsid w:val="00626EC8"/>
    <w:rsid w:val="0062767A"/>
    <w:rsid w:val="00627F57"/>
    <w:rsid w:val="00631549"/>
    <w:rsid w:val="00631982"/>
    <w:rsid w:val="0063211E"/>
    <w:rsid w:val="0063246D"/>
    <w:rsid w:val="00634E98"/>
    <w:rsid w:val="00635362"/>
    <w:rsid w:val="00635809"/>
    <w:rsid w:val="00636593"/>
    <w:rsid w:val="00640298"/>
    <w:rsid w:val="00640F39"/>
    <w:rsid w:val="00640F57"/>
    <w:rsid w:val="006414FF"/>
    <w:rsid w:val="00642224"/>
    <w:rsid w:val="00644FDA"/>
    <w:rsid w:val="00645C8E"/>
    <w:rsid w:val="00646E4B"/>
    <w:rsid w:val="0064710C"/>
    <w:rsid w:val="00647B47"/>
    <w:rsid w:val="00647CA5"/>
    <w:rsid w:val="006501D0"/>
    <w:rsid w:val="00650242"/>
    <w:rsid w:val="0065139C"/>
    <w:rsid w:val="00651D7B"/>
    <w:rsid w:val="006520F3"/>
    <w:rsid w:val="006522C2"/>
    <w:rsid w:val="006525BA"/>
    <w:rsid w:val="00652BB7"/>
    <w:rsid w:val="00652C9E"/>
    <w:rsid w:val="006549B1"/>
    <w:rsid w:val="006553B5"/>
    <w:rsid w:val="00655AAF"/>
    <w:rsid w:val="00656A30"/>
    <w:rsid w:val="00657E82"/>
    <w:rsid w:val="006614E0"/>
    <w:rsid w:val="00662C0A"/>
    <w:rsid w:val="006639D3"/>
    <w:rsid w:val="00663F00"/>
    <w:rsid w:val="00666099"/>
    <w:rsid w:val="00666E77"/>
    <w:rsid w:val="00667103"/>
    <w:rsid w:val="006673E7"/>
    <w:rsid w:val="006674C2"/>
    <w:rsid w:val="00670BB3"/>
    <w:rsid w:val="00672017"/>
    <w:rsid w:val="006721E2"/>
    <w:rsid w:val="0067239D"/>
    <w:rsid w:val="00673847"/>
    <w:rsid w:val="00674521"/>
    <w:rsid w:val="00674964"/>
    <w:rsid w:val="006762B5"/>
    <w:rsid w:val="00677A77"/>
    <w:rsid w:val="006803C4"/>
    <w:rsid w:val="00680467"/>
    <w:rsid w:val="0068087C"/>
    <w:rsid w:val="00680B7E"/>
    <w:rsid w:val="00681927"/>
    <w:rsid w:val="00682814"/>
    <w:rsid w:val="00683408"/>
    <w:rsid w:val="00683B94"/>
    <w:rsid w:val="00683F27"/>
    <w:rsid w:val="00684CA4"/>
    <w:rsid w:val="00684E72"/>
    <w:rsid w:val="0068537A"/>
    <w:rsid w:val="00686692"/>
    <w:rsid w:val="00690011"/>
    <w:rsid w:val="006901E4"/>
    <w:rsid w:val="00690316"/>
    <w:rsid w:val="00690CAC"/>
    <w:rsid w:val="00691304"/>
    <w:rsid w:val="00692178"/>
    <w:rsid w:val="00692D34"/>
    <w:rsid w:val="00693033"/>
    <w:rsid w:val="00693321"/>
    <w:rsid w:val="00693A8E"/>
    <w:rsid w:val="00694893"/>
    <w:rsid w:val="00694DD9"/>
    <w:rsid w:val="00695097"/>
    <w:rsid w:val="0069525E"/>
    <w:rsid w:val="006A0069"/>
    <w:rsid w:val="006A075A"/>
    <w:rsid w:val="006A09BE"/>
    <w:rsid w:val="006A12B1"/>
    <w:rsid w:val="006A1E80"/>
    <w:rsid w:val="006A2935"/>
    <w:rsid w:val="006A3CAE"/>
    <w:rsid w:val="006A4CEA"/>
    <w:rsid w:val="006A4E44"/>
    <w:rsid w:val="006A5F42"/>
    <w:rsid w:val="006A6103"/>
    <w:rsid w:val="006A6710"/>
    <w:rsid w:val="006A6813"/>
    <w:rsid w:val="006A7BAB"/>
    <w:rsid w:val="006B08C6"/>
    <w:rsid w:val="006B0AB0"/>
    <w:rsid w:val="006B10ED"/>
    <w:rsid w:val="006B1342"/>
    <w:rsid w:val="006B156A"/>
    <w:rsid w:val="006B1A86"/>
    <w:rsid w:val="006B21DB"/>
    <w:rsid w:val="006B3A27"/>
    <w:rsid w:val="006B4CA3"/>
    <w:rsid w:val="006B51B2"/>
    <w:rsid w:val="006B62A5"/>
    <w:rsid w:val="006C17A0"/>
    <w:rsid w:val="006C3C4A"/>
    <w:rsid w:val="006C6780"/>
    <w:rsid w:val="006C67DA"/>
    <w:rsid w:val="006C69E6"/>
    <w:rsid w:val="006C6BD5"/>
    <w:rsid w:val="006C7CCE"/>
    <w:rsid w:val="006D000D"/>
    <w:rsid w:val="006D0921"/>
    <w:rsid w:val="006D1198"/>
    <w:rsid w:val="006D27E3"/>
    <w:rsid w:val="006D4135"/>
    <w:rsid w:val="006D425F"/>
    <w:rsid w:val="006E0474"/>
    <w:rsid w:val="006E09F2"/>
    <w:rsid w:val="006E1476"/>
    <w:rsid w:val="006E1E3F"/>
    <w:rsid w:val="006E39E4"/>
    <w:rsid w:val="006E4C6B"/>
    <w:rsid w:val="006E4F55"/>
    <w:rsid w:val="006E54A6"/>
    <w:rsid w:val="006E6D62"/>
    <w:rsid w:val="006E720B"/>
    <w:rsid w:val="006E721C"/>
    <w:rsid w:val="006F12DD"/>
    <w:rsid w:val="006F3EE2"/>
    <w:rsid w:val="006F42FA"/>
    <w:rsid w:val="006F4C61"/>
    <w:rsid w:val="006F6364"/>
    <w:rsid w:val="006F777E"/>
    <w:rsid w:val="006F78F5"/>
    <w:rsid w:val="0070051E"/>
    <w:rsid w:val="00700CBD"/>
    <w:rsid w:val="00701698"/>
    <w:rsid w:val="0070180C"/>
    <w:rsid w:val="007025B5"/>
    <w:rsid w:val="007028C7"/>
    <w:rsid w:val="007029D6"/>
    <w:rsid w:val="00702F01"/>
    <w:rsid w:val="00703295"/>
    <w:rsid w:val="0070372D"/>
    <w:rsid w:val="00704462"/>
    <w:rsid w:val="00704B3B"/>
    <w:rsid w:val="00706C56"/>
    <w:rsid w:val="00707396"/>
    <w:rsid w:val="0070762A"/>
    <w:rsid w:val="00707F9F"/>
    <w:rsid w:val="00710C7E"/>
    <w:rsid w:val="00711D47"/>
    <w:rsid w:val="00714034"/>
    <w:rsid w:val="00714A09"/>
    <w:rsid w:val="00715114"/>
    <w:rsid w:val="007166B3"/>
    <w:rsid w:val="00720342"/>
    <w:rsid w:val="00720EA6"/>
    <w:rsid w:val="00722D13"/>
    <w:rsid w:val="00722EB6"/>
    <w:rsid w:val="007242A3"/>
    <w:rsid w:val="00730D94"/>
    <w:rsid w:val="00730E3A"/>
    <w:rsid w:val="0073153F"/>
    <w:rsid w:val="00731741"/>
    <w:rsid w:val="00732BBA"/>
    <w:rsid w:val="00733DE0"/>
    <w:rsid w:val="007350B8"/>
    <w:rsid w:val="007357C5"/>
    <w:rsid w:val="00737779"/>
    <w:rsid w:val="00737AA8"/>
    <w:rsid w:val="00737BC7"/>
    <w:rsid w:val="007402A6"/>
    <w:rsid w:val="0074032D"/>
    <w:rsid w:val="00740D25"/>
    <w:rsid w:val="00740EDD"/>
    <w:rsid w:val="00741214"/>
    <w:rsid w:val="00741328"/>
    <w:rsid w:val="00741C5F"/>
    <w:rsid w:val="007435AB"/>
    <w:rsid w:val="00744F18"/>
    <w:rsid w:val="00747316"/>
    <w:rsid w:val="0074783D"/>
    <w:rsid w:val="00750255"/>
    <w:rsid w:val="00750A6C"/>
    <w:rsid w:val="00751D83"/>
    <w:rsid w:val="00754359"/>
    <w:rsid w:val="00755C67"/>
    <w:rsid w:val="007569EA"/>
    <w:rsid w:val="00756F76"/>
    <w:rsid w:val="00757201"/>
    <w:rsid w:val="00757B14"/>
    <w:rsid w:val="0076316C"/>
    <w:rsid w:val="00763C01"/>
    <w:rsid w:val="00763FAD"/>
    <w:rsid w:val="007642BB"/>
    <w:rsid w:val="007643AB"/>
    <w:rsid w:val="00764F36"/>
    <w:rsid w:val="007679B9"/>
    <w:rsid w:val="00767A83"/>
    <w:rsid w:val="00770F85"/>
    <w:rsid w:val="00771D84"/>
    <w:rsid w:val="00772D94"/>
    <w:rsid w:val="007742A3"/>
    <w:rsid w:val="00776572"/>
    <w:rsid w:val="0077738D"/>
    <w:rsid w:val="007774C2"/>
    <w:rsid w:val="007808F1"/>
    <w:rsid w:val="007836A0"/>
    <w:rsid w:val="00784CC4"/>
    <w:rsid w:val="00786098"/>
    <w:rsid w:val="00786EB8"/>
    <w:rsid w:val="00787D28"/>
    <w:rsid w:val="0079000C"/>
    <w:rsid w:val="00790D7B"/>
    <w:rsid w:val="00790D93"/>
    <w:rsid w:val="00791CD7"/>
    <w:rsid w:val="007923B8"/>
    <w:rsid w:val="0079430D"/>
    <w:rsid w:val="0079697B"/>
    <w:rsid w:val="0079754C"/>
    <w:rsid w:val="007A0657"/>
    <w:rsid w:val="007A1395"/>
    <w:rsid w:val="007A25CC"/>
    <w:rsid w:val="007A26CB"/>
    <w:rsid w:val="007A331E"/>
    <w:rsid w:val="007A3BD0"/>
    <w:rsid w:val="007A644F"/>
    <w:rsid w:val="007B07CA"/>
    <w:rsid w:val="007B0C6A"/>
    <w:rsid w:val="007B19CE"/>
    <w:rsid w:val="007B63C3"/>
    <w:rsid w:val="007B668E"/>
    <w:rsid w:val="007B7C23"/>
    <w:rsid w:val="007C0255"/>
    <w:rsid w:val="007C09C8"/>
    <w:rsid w:val="007C0C22"/>
    <w:rsid w:val="007C13ED"/>
    <w:rsid w:val="007C2346"/>
    <w:rsid w:val="007C2707"/>
    <w:rsid w:val="007C2DD4"/>
    <w:rsid w:val="007C33CF"/>
    <w:rsid w:val="007C3543"/>
    <w:rsid w:val="007C44D2"/>
    <w:rsid w:val="007C608B"/>
    <w:rsid w:val="007C62E7"/>
    <w:rsid w:val="007C671E"/>
    <w:rsid w:val="007C6AA3"/>
    <w:rsid w:val="007C7457"/>
    <w:rsid w:val="007D1CB4"/>
    <w:rsid w:val="007D2F37"/>
    <w:rsid w:val="007D3011"/>
    <w:rsid w:val="007D3195"/>
    <w:rsid w:val="007D3572"/>
    <w:rsid w:val="007D501A"/>
    <w:rsid w:val="007D53CD"/>
    <w:rsid w:val="007D6377"/>
    <w:rsid w:val="007D6528"/>
    <w:rsid w:val="007D699F"/>
    <w:rsid w:val="007E0697"/>
    <w:rsid w:val="007E0720"/>
    <w:rsid w:val="007E1221"/>
    <w:rsid w:val="007E3F65"/>
    <w:rsid w:val="007E5253"/>
    <w:rsid w:val="007E57A5"/>
    <w:rsid w:val="007E5B0E"/>
    <w:rsid w:val="007E666A"/>
    <w:rsid w:val="007E681E"/>
    <w:rsid w:val="007E68F6"/>
    <w:rsid w:val="007E6EF9"/>
    <w:rsid w:val="007E7814"/>
    <w:rsid w:val="007E7C59"/>
    <w:rsid w:val="007F0511"/>
    <w:rsid w:val="007F1FC9"/>
    <w:rsid w:val="007F2AE5"/>
    <w:rsid w:val="007F2B8F"/>
    <w:rsid w:val="007F49A4"/>
    <w:rsid w:val="007F4DCC"/>
    <w:rsid w:val="007F53A1"/>
    <w:rsid w:val="007F6AB0"/>
    <w:rsid w:val="00800A85"/>
    <w:rsid w:val="0080257D"/>
    <w:rsid w:val="008025AE"/>
    <w:rsid w:val="0080375F"/>
    <w:rsid w:val="00803805"/>
    <w:rsid w:val="00803812"/>
    <w:rsid w:val="00803EA8"/>
    <w:rsid w:val="008040EC"/>
    <w:rsid w:val="00804940"/>
    <w:rsid w:val="00804E39"/>
    <w:rsid w:val="008052B1"/>
    <w:rsid w:val="0080582D"/>
    <w:rsid w:val="00805D11"/>
    <w:rsid w:val="00805F72"/>
    <w:rsid w:val="00805FF1"/>
    <w:rsid w:val="0080756C"/>
    <w:rsid w:val="00807B23"/>
    <w:rsid w:val="00810325"/>
    <w:rsid w:val="00811243"/>
    <w:rsid w:val="00811E3F"/>
    <w:rsid w:val="0081220D"/>
    <w:rsid w:val="008131BE"/>
    <w:rsid w:val="00813F88"/>
    <w:rsid w:val="00814B36"/>
    <w:rsid w:val="00815F59"/>
    <w:rsid w:val="008168D8"/>
    <w:rsid w:val="00821083"/>
    <w:rsid w:val="00821833"/>
    <w:rsid w:val="00822C89"/>
    <w:rsid w:val="008257ED"/>
    <w:rsid w:val="008275D0"/>
    <w:rsid w:val="008311F1"/>
    <w:rsid w:val="00831204"/>
    <w:rsid w:val="00831208"/>
    <w:rsid w:val="008313BC"/>
    <w:rsid w:val="00831E07"/>
    <w:rsid w:val="00832B4A"/>
    <w:rsid w:val="00832FB1"/>
    <w:rsid w:val="008332D5"/>
    <w:rsid w:val="00833375"/>
    <w:rsid w:val="00835A02"/>
    <w:rsid w:val="00836E21"/>
    <w:rsid w:val="008372F5"/>
    <w:rsid w:val="008414B4"/>
    <w:rsid w:val="00841586"/>
    <w:rsid w:val="008429CF"/>
    <w:rsid w:val="008446E2"/>
    <w:rsid w:val="00844E0E"/>
    <w:rsid w:val="008452ED"/>
    <w:rsid w:val="00845B40"/>
    <w:rsid w:val="00847E19"/>
    <w:rsid w:val="00850CD3"/>
    <w:rsid w:val="0085112C"/>
    <w:rsid w:val="00852FCF"/>
    <w:rsid w:val="00853E73"/>
    <w:rsid w:val="00855F16"/>
    <w:rsid w:val="00855F5F"/>
    <w:rsid w:val="008601A9"/>
    <w:rsid w:val="0086157D"/>
    <w:rsid w:val="008622AA"/>
    <w:rsid w:val="0086268D"/>
    <w:rsid w:val="00862CF2"/>
    <w:rsid w:val="008638A1"/>
    <w:rsid w:val="00863971"/>
    <w:rsid w:val="008647FE"/>
    <w:rsid w:val="0086494C"/>
    <w:rsid w:val="00864D69"/>
    <w:rsid w:val="008651F9"/>
    <w:rsid w:val="00865B0D"/>
    <w:rsid w:val="00865F82"/>
    <w:rsid w:val="008671CF"/>
    <w:rsid w:val="00867652"/>
    <w:rsid w:val="00867756"/>
    <w:rsid w:val="0087179D"/>
    <w:rsid w:val="00871B33"/>
    <w:rsid w:val="00871D88"/>
    <w:rsid w:val="00871DC0"/>
    <w:rsid w:val="008722E3"/>
    <w:rsid w:val="00872512"/>
    <w:rsid w:val="00872949"/>
    <w:rsid w:val="00872BBF"/>
    <w:rsid w:val="00873EE6"/>
    <w:rsid w:val="00875D39"/>
    <w:rsid w:val="00876E49"/>
    <w:rsid w:val="00877167"/>
    <w:rsid w:val="0087781F"/>
    <w:rsid w:val="008801F9"/>
    <w:rsid w:val="008833F1"/>
    <w:rsid w:val="00883CD5"/>
    <w:rsid w:val="00884360"/>
    <w:rsid w:val="00884ADD"/>
    <w:rsid w:val="008862EF"/>
    <w:rsid w:val="00887874"/>
    <w:rsid w:val="0089054E"/>
    <w:rsid w:val="008907FD"/>
    <w:rsid w:val="008920B9"/>
    <w:rsid w:val="00892887"/>
    <w:rsid w:val="00893BB7"/>
    <w:rsid w:val="008941DB"/>
    <w:rsid w:val="008944F8"/>
    <w:rsid w:val="00895C7B"/>
    <w:rsid w:val="00895E31"/>
    <w:rsid w:val="0089695D"/>
    <w:rsid w:val="0089712D"/>
    <w:rsid w:val="0089733D"/>
    <w:rsid w:val="008A07A8"/>
    <w:rsid w:val="008A0F8E"/>
    <w:rsid w:val="008A16EA"/>
    <w:rsid w:val="008A19CD"/>
    <w:rsid w:val="008A2F60"/>
    <w:rsid w:val="008A3DF9"/>
    <w:rsid w:val="008A547E"/>
    <w:rsid w:val="008A7254"/>
    <w:rsid w:val="008B0D56"/>
    <w:rsid w:val="008B1A8B"/>
    <w:rsid w:val="008B2CE0"/>
    <w:rsid w:val="008B2E67"/>
    <w:rsid w:val="008B3BD2"/>
    <w:rsid w:val="008B3C40"/>
    <w:rsid w:val="008B4A65"/>
    <w:rsid w:val="008B50DF"/>
    <w:rsid w:val="008B6162"/>
    <w:rsid w:val="008C04DF"/>
    <w:rsid w:val="008C0BD7"/>
    <w:rsid w:val="008C1897"/>
    <w:rsid w:val="008C1971"/>
    <w:rsid w:val="008C26A9"/>
    <w:rsid w:val="008C3BC3"/>
    <w:rsid w:val="008C5399"/>
    <w:rsid w:val="008C644C"/>
    <w:rsid w:val="008C6827"/>
    <w:rsid w:val="008C6B10"/>
    <w:rsid w:val="008C798F"/>
    <w:rsid w:val="008D0B45"/>
    <w:rsid w:val="008D2147"/>
    <w:rsid w:val="008D2CAF"/>
    <w:rsid w:val="008D3ACE"/>
    <w:rsid w:val="008D3C0D"/>
    <w:rsid w:val="008D3C88"/>
    <w:rsid w:val="008D51CC"/>
    <w:rsid w:val="008D6C14"/>
    <w:rsid w:val="008D76C3"/>
    <w:rsid w:val="008D7A55"/>
    <w:rsid w:val="008E0BE2"/>
    <w:rsid w:val="008E31A9"/>
    <w:rsid w:val="008E4F95"/>
    <w:rsid w:val="008E78C3"/>
    <w:rsid w:val="008F0F5F"/>
    <w:rsid w:val="008F1A30"/>
    <w:rsid w:val="008F1C6E"/>
    <w:rsid w:val="008F2E3D"/>
    <w:rsid w:val="008F45C3"/>
    <w:rsid w:val="008F4D52"/>
    <w:rsid w:val="008F4E41"/>
    <w:rsid w:val="008F6222"/>
    <w:rsid w:val="008F665E"/>
    <w:rsid w:val="009029B0"/>
    <w:rsid w:val="009039B0"/>
    <w:rsid w:val="0090408D"/>
    <w:rsid w:val="00904757"/>
    <w:rsid w:val="00904E6B"/>
    <w:rsid w:val="00904FCB"/>
    <w:rsid w:val="00906EEC"/>
    <w:rsid w:val="009113C8"/>
    <w:rsid w:val="00914204"/>
    <w:rsid w:val="00914306"/>
    <w:rsid w:val="00915C7E"/>
    <w:rsid w:val="0091653F"/>
    <w:rsid w:val="009166AF"/>
    <w:rsid w:val="00917862"/>
    <w:rsid w:val="00922606"/>
    <w:rsid w:val="00922D31"/>
    <w:rsid w:val="00923491"/>
    <w:rsid w:val="0092559F"/>
    <w:rsid w:val="00925C6F"/>
    <w:rsid w:val="00926081"/>
    <w:rsid w:val="00931141"/>
    <w:rsid w:val="00932289"/>
    <w:rsid w:val="00932771"/>
    <w:rsid w:val="009334D7"/>
    <w:rsid w:val="00935224"/>
    <w:rsid w:val="00935665"/>
    <w:rsid w:val="00935B30"/>
    <w:rsid w:val="00936A4E"/>
    <w:rsid w:val="009370ED"/>
    <w:rsid w:val="0094038F"/>
    <w:rsid w:val="00941580"/>
    <w:rsid w:val="00942A64"/>
    <w:rsid w:val="00943006"/>
    <w:rsid w:val="00944E0C"/>
    <w:rsid w:val="00945998"/>
    <w:rsid w:val="00946C48"/>
    <w:rsid w:val="00946EFF"/>
    <w:rsid w:val="00946F6E"/>
    <w:rsid w:val="009474C2"/>
    <w:rsid w:val="00947A55"/>
    <w:rsid w:val="00947A98"/>
    <w:rsid w:val="0095083A"/>
    <w:rsid w:val="00950D81"/>
    <w:rsid w:val="00951197"/>
    <w:rsid w:val="009526D6"/>
    <w:rsid w:val="00953F58"/>
    <w:rsid w:val="009543EB"/>
    <w:rsid w:val="009571D8"/>
    <w:rsid w:val="00957C86"/>
    <w:rsid w:val="0096019A"/>
    <w:rsid w:val="00960F15"/>
    <w:rsid w:val="00961A98"/>
    <w:rsid w:val="009623AB"/>
    <w:rsid w:val="00963456"/>
    <w:rsid w:val="0096378F"/>
    <w:rsid w:val="00964131"/>
    <w:rsid w:val="00964206"/>
    <w:rsid w:val="00965834"/>
    <w:rsid w:val="00965871"/>
    <w:rsid w:val="00965E26"/>
    <w:rsid w:val="0096643C"/>
    <w:rsid w:val="00970A6B"/>
    <w:rsid w:val="00971154"/>
    <w:rsid w:val="00972EC5"/>
    <w:rsid w:val="00973586"/>
    <w:rsid w:val="00973C29"/>
    <w:rsid w:val="00973E59"/>
    <w:rsid w:val="009758E3"/>
    <w:rsid w:val="009763C4"/>
    <w:rsid w:val="009779E0"/>
    <w:rsid w:val="00977A6B"/>
    <w:rsid w:val="009803F1"/>
    <w:rsid w:val="009807B4"/>
    <w:rsid w:val="00983DFB"/>
    <w:rsid w:val="009844F7"/>
    <w:rsid w:val="00985FE7"/>
    <w:rsid w:val="00986029"/>
    <w:rsid w:val="0099079E"/>
    <w:rsid w:val="00991F5D"/>
    <w:rsid w:val="0099281E"/>
    <w:rsid w:val="009930B9"/>
    <w:rsid w:val="009934E2"/>
    <w:rsid w:val="00995242"/>
    <w:rsid w:val="00995FFD"/>
    <w:rsid w:val="00996A15"/>
    <w:rsid w:val="009A0514"/>
    <w:rsid w:val="009A2C08"/>
    <w:rsid w:val="009A35A6"/>
    <w:rsid w:val="009A45B0"/>
    <w:rsid w:val="009A5F58"/>
    <w:rsid w:val="009A6A6F"/>
    <w:rsid w:val="009A73C3"/>
    <w:rsid w:val="009A7C3E"/>
    <w:rsid w:val="009B1AD4"/>
    <w:rsid w:val="009B1B69"/>
    <w:rsid w:val="009B1D67"/>
    <w:rsid w:val="009B2734"/>
    <w:rsid w:val="009B5A67"/>
    <w:rsid w:val="009B618E"/>
    <w:rsid w:val="009C0336"/>
    <w:rsid w:val="009C137B"/>
    <w:rsid w:val="009C1772"/>
    <w:rsid w:val="009C17DA"/>
    <w:rsid w:val="009C1F1C"/>
    <w:rsid w:val="009C23B9"/>
    <w:rsid w:val="009C2623"/>
    <w:rsid w:val="009C470D"/>
    <w:rsid w:val="009C590A"/>
    <w:rsid w:val="009C638B"/>
    <w:rsid w:val="009C7AEF"/>
    <w:rsid w:val="009D29E9"/>
    <w:rsid w:val="009D3626"/>
    <w:rsid w:val="009D443F"/>
    <w:rsid w:val="009D655A"/>
    <w:rsid w:val="009D68FB"/>
    <w:rsid w:val="009D6EE3"/>
    <w:rsid w:val="009D72FC"/>
    <w:rsid w:val="009D75B9"/>
    <w:rsid w:val="009D771F"/>
    <w:rsid w:val="009E04B3"/>
    <w:rsid w:val="009E0780"/>
    <w:rsid w:val="009E0DFC"/>
    <w:rsid w:val="009E12EA"/>
    <w:rsid w:val="009E1880"/>
    <w:rsid w:val="009E1A06"/>
    <w:rsid w:val="009E36A5"/>
    <w:rsid w:val="009E41A0"/>
    <w:rsid w:val="009E5B74"/>
    <w:rsid w:val="009E644A"/>
    <w:rsid w:val="009E70D4"/>
    <w:rsid w:val="009E7826"/>
    <w:rsid w:val="009E7C14"/>
    <w:rsid w:val="009F2D3D"/>
    <w:rsid w:val="009F419C"/>
    <w:rsid w:val="009F43E0"/>
    <w:rsid w:val="009F49B2"/>
    <w:rsid w:val="009F5EB6"/>
    <w:rsid w:val="00A016F4"/>
    <w:rsid w:val="00A0211B"/>
    <w:rsid w:val="00A03AB2"/>
    <w:rsid w:val="00A03AC2"/>
    <w:rsid w:val="00A03C7D"/>
    <w:rsid w:val="00A04B94"/>
    <w:rsid w:val="00A04CCE"/>
    <w:rsid w:val="00A055A5"/>
    <w:rsid w:val="00A059F8"/>
    <w:rsid w:val="00A06074"/>
    <w:rsid w:val="00A06502"/>
    <w:rsid w:val="00A1067D"/>
    <w:rsid w:val="00A10938"/>
    <w:rsid w:val="00A12068"/>
    <w:rsid w:val="00A12A7C"/>
    <w:rsid w:val="00A1330E"/>
    <w:rsid w:val="00A142FD"/>
    <w:rsid w:val="00A14F1F"/>
    <w:rsid w:val="00A15D7C"/>
    <w:rsid w:val="00A16688"/>
    <w:rsid w:val="00A1673A"/>
    <w:rsid w:val="00A1791D"/>
    <w:rsid w:val="00A203CB"/>
    <w:rsid w:val="00A22822"/>
    <w:rsid w:val="00A30B98"/>
    <w:rsid w:val="00A31884"/>
    <w:rsid w:val="00A33AEA"/>
    <w:rsid w:val="00A33CFB"/>
    <w:rsid w:val="00A34481"/>
    <w:rsid w:val="00A34B6C"/>
    <w:rsid w:val="00A356F4"/>
    <w:rsid w:val="00A378AB"/>
    <w:rsid w:val="00A40131"/>
    <w:rsid w:val="00A402A1"/>
    <w:rsid w:val="00A41D8A"/>
    <w:rsid w:val="00A43606"/>
    <w:rsid w:val="00A44175"/>
    <w:rsid w:val="00A44D8F"/>
    <w:rsid w:val="00A45C40"/>
    <w:rsid w:val="00A46260"/>
    <w:rsid w:val="00A46777"/>
    <w:rsid w:val="00A46CF2"/>
    <w:rsid w:val="00A46E8E"/>
    <w:rsid w:val="00A46F7D"/>
    <w:rsid w:val="00A50455"/>
    <w:rsid w:val="00A50D22"/>
    <w:rsid w:val="00A512C3"/>
    <w:rsid w:val="00A51CDD"/>
    <w:rsid w:val="00A522C3"/>
    <w:rsid w:val="00A52BB3"/>
    <w:rsid w:val="00A52DCE"/>
    <w:rsid w:val="00A53477"/>
    <w:rsid w:val="00A562CA"/>
    <w:rsid w:val="00A56787"/>
    <w:rsid w:val="00A5694E"/>
    <w:rsid w:val="00A571AE"/>
    <w:rsid w:val="00A571FE"/>
    <w:rsid w:val="00A575B4"/>
    <w:rsid w:val="00A5796A"/>
    <w:rsid w:val="00A60395"/>
    <w:rsid w:val="00A60929"/>
    <w:rsid w:val="00A61063"/>
    <w:rsid w:val="00A61B26"/>
    <w:rsid w:val="00A61D1D"/>
    <w:rsid w:val="00A622F0"/>
    <w:rsid w:val="00A6287E"/>
    <w:rsid w:val="00A63507"/>
    <w:rsid w:val="00A6363C"/>
    <w:rsid w:val="00A65280"/>
    <w:rsid w:val="00A65624"/>
    <w:rsid w:val="00A71EFB"/>
    <w:rsid w:val="00A743AB"/>
    <w:rsid w:val="00A77212"/>
    <w:rsid w:val="00A77C2C"/>
    <w:rsid w:val="00A80062"/>
    <w:rsid w:val="00A80F27"/>
    <w:rsid w:val="00A82683"/>
    <w:rsid w:val="00A82B55"/>
    <w:rsid w:val="00A82C68"/>
    <w:rsid w:val="00A856EB"/>
    <w:rsid w:val="00A86E32"/>
    <w:rsid w:val="00A875E3"/>
    <w:rsid w:val="00A87694"/>
    <w:rsid w:val="00A9022E"/>
    <w:rsid w:val="00A9079C"/>
    <w:rsid w:val="00A90C0D"/>
    <w:rsid w:val="00A90FFB"/>
    <w:rsid w:val="00A9209F"/>
    <w:rsid w:val="00A9235A"/>
    <w:rsid w:val="00A93E1B"/>
    <w:rsid w:val="00A94DD9"/>
    <w:rsid w:val="00A979B1"/>
    <w:rsid w:val="00A97DA8"/>
    <w:rsid w:val="00AA0AD4"/>
    <w:rsid w:val="00AA1165"/>
    <w:rsid w:val="00AA3467"/>
    <w:rsid w:val="00AA3F31"/>
    <w:rsid w:val="00AA437A"/>
    <w:rsid w:val="00AA4625"/>
    <w:rsid w:val="00AA5E03"/>
    <w:rsid w:val="00AA6BB6"/>
    <w:rsid w:val="00AA7D57"/>
    <w:rsid w:val="00AB02E9"/>
    <w:rsid w:val="00AB10EA"/>
    <w:rsid w:val="00AB16B3"/>
    <w:rsid w:val="00AB1F1A"/>
    <w:rsid w:val="00AB267F"/>
    <w:rsid w:val="00AB2EE7"/>
    <w:rsid w:val="00AB33AA"/>
    <w:rsid w:val="00AB3F0D"/>
    <w:rsid w:val="00AB4639"/>
    <w:rsid w:val="00AB5488"/>
    <w:rsid w:val="00AB6007"/>
    <w:rsid w:val="00AC00D2"/>
    <w:rsid w:val="00AC0AAD"/>
    <w:rsid w:val="00AC31A8"/>
    <w:rsid w:val="00AC33AC"/>
    <w:rsid w:val="00AC4F34"/>
    <w:rsid w:val="00AC50BC"/>
    <w:rsid w:val="00AC6104"/>
    <w:rsid w:val="00AC6EC2"/>
    <w:rsid w:val="00AC6FC6"/>
    <w:rsid w:val="00AD0DE9"/>
    <w:rsid w:val="00AD2971"/>
    <w:rsid w:val="00AD326B"/>
    <w:rsid w:val="00AD41CE"/>
    <w:rsid w:val="00AD5FE2"/>
    <w:rsid w:val="00AE3756"/>
    <w:rsid w:val="00AE3A63"/>
    <w:rsid w:val="00AE4572"/>
    <w:rsid w:val="00AE53FF"/>
    <w:rsid w:val="00AE5435"/>
    <w:rsid w:val="00AE749F"/>
    <w:rsid w:val="00AE7DED"/>
    <w:rsid w:val="00AF1261"/>
    <w:rsid w:val="00AF2255"/>
    <w:rsid w:val="00AF2B40"/>
    <w:rsid w:val="00AF3ABE"/>
    <w:rsid w:val="00AF5615"/>
    <w:rsid w:val="00AF6959"/>
    <w:rsid w:val="00AF7408"/>
    <w:rsid w:val="00AF7F9A"/>
    <w:rsid w:val="00B00520"/>
    <w:rsid w:val="00B00F8E"/>
    <w:rsid w:val="00B014D0"/>
    <w:rsid w:val="00B020E0"/>
    <w:rsid w:val="00B02124"/>
    <w:rsid w:val="00B0226D"/>
    <w:rsid w:val="00B02CD1"/>
    <w:rsid w:val="00B03CB0"/>
    <w:rsid w:val="00B041A9"/>
    <w:rsid w:val="00B0465E"/>
    <w:rsid w:val="00B04F0C"/>
    <w:rsid w:val="00B060CC"/>
    <w:rsid w:val="00B06363"/>
    <w:rsid w:val="00B06BA8"/>
    <w:rsid w:val="00B07B44"/>
    <w:rsid w:val="00B07BE6"/>
    <w:rsid w:val="00B07E7C"/>
    <w:rsid w:val="00B10A7B"/>
    <w:rsid w:val="00B10BBD"/>
    <w:rsid w:val="00B1199E"/>
    <w:rsid w:val="00B1218F"/>
    <w:rsid w:val="00B129B3"/>
    <w:rsid w:val="00B12CA4"/>
    <w:rsid w:val="00B13262"/>
    <w:rsid w:val="00B1340D"/>
    <w:rsid w:val="00B135A4"/>
    <w:rsid w:val="00B14AC6"/>
    <w:rsid w:val="00B14C20"/>
    <w:rsid w:val="00B14E56"/>
    <w:rsid w:val="00B16238"/>
    <w:rsid w:val="00B168B5"/>
    <w:rsid w:val="00B173B2"/>
    <w:rsid w:val="00B20164"/>
    <w:rsid w:val="00B202C7"/>
    <w:rsid w:val="00B2101D"/>
    <w:rsid w:val="00B210D6"/>
    <w:rsid w:val="00B23F8B"/>
    <w:rsid w:val="00B259B3"/>
    <w:rsid w:val="00B25B73"/>
    <w:rsid w:val="00B276A4"/>
    <w:rsid w:val="00B27724"/>
    <w:rsid w:val="00B27905"/>
    <w:rsid w:val="00B30F3D"/>
    <w:rsid w:val="00B33EA5"/>
    <w:rsid w:val="00B33F5C"/>
    <w:rsid w:val="00B340AB"/>
    <w:rsid w:val="00B36B18"/>
    <w:rsid w:val="00B36C69"/>
    <w:rsid w:val="00B37938"/>
    <w:rsid w:val="00B37AAD"/>
    <w:rsid w:val="00B412BD"/>
    <w:rsid w:val="00B419E4"/>
    <w:rsid w:val="00B432A0"/>
    <w:rsid w:val="00B44753"/>
    <w:rsid w:val="00B462A7"/>
    <w:rsid w:val="00B4738B"/>
    <w:rsid w:val="00B47CC4"/>
    <w:rsid w:val="00B517F7"/>
    <w:rsid w:val="00B51AE9"/>
    <w:rsid w:val="00B52AFC"/>
    <w:rsid w:val="00B52B41"/>
    <w:rsid w:val="00B52C97"/>
    <w:rsid w:val="00B52EFE"/>
    <w:rsid w:val="00B535A3"/>
    <w:rsid w:val="00B5489B"/>
    <w:rsid w:val="00B56203"/>
    <w:rsid w:val="00B568B8"/>
    <w:rsid w:val="00B570B9"/>
    <w:rsid w:val="00B5715D"/>
    <w:rsid w:val="00B607A0"/>
    <w:rsid w:val="00B60DCA"/>
    <w:rsid w:val="00B61824"/>
    <w:rsid w:val="00B62BAE"/>
    <w:rsid w:val="00B63483"/>
    <w:rsid w:val="00B63C73"/>
    <w:rsid w:val="00B672B3"/>
    <w:rsid w:val="00B67C5C"/>
    <w:rsid w:val="00B70404"/>
    <w:rsid w:val="00B713FD"/>
    <w:rsid w:val="00B75204"/>
    <w:rsid w:val="00B76B5C"/>
    <w:rsid w:val="00B76DB6"/>
    <w:rsid w:val="00B775B0"/>
    <w:rsid w:val="00B77DBF"/>
    <w:rsid w:val="00B810DF"/>
    <w:rsid w:val="00B81983"/>
    <w:rsid w:val="00B81E90"/>
    <w:rsid w:val="00B81FBB"/>
    <w:rsid w:val="00B827FD"/>
    <w:rsid w:val="00B8706B"/>
    <w:rsid w:val="00B902B9"/>
    <w:rsid w:val="00B90A68"/>
    <w:rsid w:val="00B91049"/>
    <w:rsid w:val="00B91319"/>
    <w:rsid w:val="00B91E6E"/>
    <w:rsid w:val="00B929CF"/>
    <w:rsid w:val="00B92C59"/>
    <w:rsid w:val="00B943EA"/>
    <w:rsid w:val="00B95BFE"/>
    <w:rsid w:val="00B961CB"/>
    <w:rsid w:val="00B96C22"/>
    <w:rsid w:val="00B972D3"/>
    <w:rsid w:val="00BA0098"/>
    <w:rsid w:val="00BA036D"/>
    <w:rsid w:val="00BA1705"/>
    <w:rsid w:val="00BA1E11"/>
    <w:rsid w:val="00BA1EB7"/>
    <w:rsid w:val="00BA2132"/>
    <w:rsid w:val="00BA22D3"/>
    <w:rsid w:val="00BA2954"/>
    <w:rsid w:val="00BA3CCA"/>
    <w:rsid w:val="00BA4295"/>
    <w:rsid w:val="00BA5B58"/>
    <w:rsid w:val="00BA64A7"/>
    <w:rsid w:val="00BA728C"/>
    <w:rsid w:val="00BA73D4"/>
    <w:rsid w:val="00BB0200"/>
    <w:rsid w:val="00BB0338"/>
    <w:rsid w:val="00BB0479"/>
    <w:rsid w:val="00BB0AB1"/>
    <w:rsid w:val="00BB0AD4"/>
    <w:rsid w:val="00BB168A"/>
    <w:rsid w:val="00BB2496"/>
    <w:rsid w:val="00BB2765"/>
    <w:rsid w:val="00BB3136"/>
    <w:rsid w:val="00BB3940"/>
    <w:rsid w:val="00BB399E"/>
    <w:rsid w:val="00BB4389"/>
    <w:rsid w:val="00BB5F6F"/>
    <w:rsid w:val="00BB611F"/>
    <w:rsid w:val="00BB61BE"/>
    <w:rsid w:val="00BB64A9"/>
    <w:rsid w:val="00BB76D3"/>
    <w:rsid w:val="00BB7986"/>
    <w:rsid w:val="00BC2797"/>
    <w:rsid w:val="00BC2DF0"/>
    <w:rsid w:val="00BC4227"/>
    <w:rsid w:val="00BC485B"/>
    <w:rsid w:val="00BC6EAE"/>
    <w:rsid w:val="00BC73E9"/>
    <w:rsid w:val="00BC76B1"/>
    <w:rsid w:val="00BD1366"/>
    <w:rsid w:val="00BD1656"/>
    <w:rsid w:val="00BD18CC"/>
    <w:rsid w:val="00BD29F5"/>
    <w:rsid w:val="00BD3419"/>
    <w:rsid w:val="00BD39EC"/>
    <w:rsid w:val="00BD43E5"/>
    <w:rsid w:val="00BD512A"/>
    <w:rsid w:val="00BD59E3"/>
    <w:rsid w:val="00BD672B"/>
    <w:rsid w:val="00BD6734"/>
    <w:rsid w:val="00BD7C76"/>
    <w:rsid w:val="00BD7FD7"/>
    <w:rsid w:val="00BE0315"/>
    <w:rsid w:val="00BE05F0"/>
    <w:rsid w:val="00BE08D5"/>
    <w:rsid w:val="00BE0D73"/>
    <w:rsid w:val="00BE1772"/>
    <w:rsid w:val="00BE1DEB"/>
    <w:rsid w:val="00BE44F2"/>
    <w:rsid w:val="00BF0E8E"/>
    <w:rsid w:val="00BF17C6"/>
    <w:rsid w:val="00BF1A7F"/>
    <w:rsid w:val="00BF5324"/>
    <w:rsid w:val="00BF5652"/>
    <w:rsid w:val="00BF577F"/>
    <w:rsid w:val="00BF7266"/>
    <w:rsid w:val="00C00F37"/>
    <w:rsid w:val="00C0247E"/>
    <w:rsid w:val="00C02E19"/>
    <w:rsid w:val="00C03F48"/>
    <w:rsid w:val="00C03F51"/>
    <w:rsid w:val="00C0422A"/>
    <w:rsid w:val="00C05C5B"/>
    <w:rsid w:val="00C05DDE"/>
    <w:rsid w:val="00C06812"/>
    <w:rsid w:val="00C10CC7"/>
    <w:rsid w:val="00C1112B"/>
    <w:rsid w:val="00C11F38"/>
    <w:rsid w:val="00C13225"/>
    <w:rsid w:val="00C149DC"/>
    <w:rsid w:val="00C14C86"/>
    <w:rsid w:val="00C150EB"/>
    <w:rsid w:val="00C15E5C"/>
    <w:rsid w:val="00C20227"/>
    <w:rsid w:val="00C2039E"/>
    <w:rsid w:val="00C20514"/>
    <w:rsid w:val="00C21875"/>
    <w:rsid w:val="00C2265F"/>
    <w:rsid w:val="00C22916"/>
    <w:rsid w:val="00C229F8"/>
    <w:rsid w:val="00C25639"/>
    <w:rsid w:val="00C25BA5"/>
    <w:rsid w:val="00C270A4"/>
    <w:rsid w:val="00C27BB6"/>
    <w:rsid w:val="00C30796"/>
    <w:rsid w:val="00C322F1"/>
    <w:rsid w:val="00C33284"/>
    <w:rsid w:val="00C36FEF"/>
    <w:rsid w:val="00C37066"/>
    <w:rsid w:val="00C371FA"/>
    <w:rsid w:val="00C40FFC"/>
    <w:rsid w:val="00C41480"/>
    <w:rsid w:val="00C431D6"/>
    <w:rsid w:val="00C439B8"/>
    <w:rsid w:val="00C445C2"/>
    <w:rsid w:val="00C45B88"/>
    <w:rsid w:val="00C46492"/>
    <w:rsid w:val="00C46F61"/>
    <w:rsid w:val="00C47BB2"/>
    <w:rsid w:val="00C50F0D"/>
    <w:rsid w:val="00C51C28"/>
    <w:rsid w:val="00C52DB8"/>
    <w:rsid w:val="00C53456"/>
    <w:rsid w:val="00C54A67"/>
    <w:rsid w:val="00C55CCA"/>
    <w:rsid w:val="00C55E36"/>
    <w:rsid w:val="00C60C2D"/>
    <w:rsid w:val="00C61E0E"/>
    <w:rsid w:val="00C62E53"/>
    <w:rsid w:val="00C62FB0"/>
    <w:rsid w:val="00C677D8"/>
    <w:rsid w:val="00C67F26"/>
    <w:rsid w:val="00C70043"/>
    <w:rsid w:val="00C70D32"/>
    <w:rsid w:val="00C71208"/>
    <w:rsid w:val="00C71EE7"/>
    <w:rsid w:val="00C72B5A"/>
    <w:rsid w:val="00C73861"/>
    <w:rsid w:val="00C7432C"/>
    <w:rsid w:val="00C75173"/>
    <w:rsid w:val="00C75791"/>
    <w:rsid w:val="00C76304"/>
    <w:rsid w:val="00C769B0"/>
    <w:rsid w:val="00C76DC6"/>
    <w:rsid w:val="00C7762E"/>
    <w:rsid w:val="00C77AEC"/>
    <w:rsid w:val="00C807A2"/>
    <w:rsid w:val="00C8181D"/>
    <w:rsid w:val="00C84084"/>
    <w:rsid w:val="00C8471E"/>
    <w:rsid w:val="00C84955"/>
    <w:rsid w:val="00C86467"/>
    <w:rsid w:val="00C91A3F"/>
    <w:rsid w:val="00C92316"/>
    <w:rsid w:val="00C92547"/>
    <w:rsid w:val="00C94051"/>
    <w:rsid w:val="00C95C72"/>
    <w:rsid w:val="00C962B5"/>
    <w:rsid w:val="00C9641E"/>
    <w:rsid w:val="00C96B86"/>
    <w:rsid w:val="00C96FD7"/>
    <w:rsid w:val="00C97254"/>
    <w:rsid w:val="00C97DF7"/>
    <w:rsid w:val="00CA0AEE"/>
    <w:rsid w:val="00CA1A6A"/>
    <w:rsid w:val="00CA20A3"/>
    <w:rsid w:val="00CA2D5B"/>
    <w:rsid w:val="00CA3B64"/>
    <w:rsid w:val="00CA6108"/>
    <w:rsid w:val="00CA7A20"/>
    <w:rsid w:val="00CB04DD"/>
    <w:rsid w:val="00CB21E2"/>
    <w:rsid w:val="00CB4E57"/>
    <w:rsid w:val="00CB5F4D"/>
    <w:rsid w:val="00CB6EAE"/>
    <w:rsid w:val="00CB7127"/>
    <w:rsid w:val="00CB74A6"/>
    <w:rsid w:val="00CB766B"/>
    <w:rsid w:val="00CB7C04"/>
    <w:rsid w:val="00CB7E10"/>
    <w:rsid w:val="00CC0DEB"/>
    <w:rsid w:val="00CC1F0F"/>
    <w:rsid w:val="00CC2759"/>
    <w:rsid w:val="00CC356D"/>
    <w:rsid w:val="00CC467E"/>
    <w:rsid w:val="00CC52D2"/>
    <w:rsid w:val="00CC7A24"/>
    <w:rsid w:val="00CD109D"/>
    <w:rsid w:val="00CD1E9D"/>
    <w:rsid w:val="00CD4041"/>
    <w:rsid w:val="00CD461B"/>
    <w:rsid w:val="00CD57BE"/>
    <w:rsid w:val="00CD6ABB"/>
    <w:rsid w:val="00CE158F"/>
    <w:rsid w:val="00CE1872"/>
    <w:rsid w:val="00CE2661"/>
    <w:rsid w:val="00CE350A"/>
    <w:rsid w:val="00CE5352"/>
    <w:rsid w:val="00CE5813"/>
    <w:rsid w:val="00CE5CF2"/>
    <w:rsid w:val="00CE6B4F"/>
    <w:rsid w:val="00CE7F9D"/>
    <w:rsid w:val="00CF0DEC"/>
    <w:rsid w:val="00CF126F"/>
    <w:rsid w:val="00CF2BA1"/>
    <w:rsid w:val="00CF3ECF"/>
    <w:rsid w:val="00CF467E"/>
    <w:rsid w:val="00CF476A"/>
    <w:rsid w:val="00CF54F1"/>
    <w:rsid w:val="00CF643D"/>
    <w:rsid w:val="00CF6917"/>
    <w:rsid w:val="00CF7724"/>
    <w:rsid w:val="00D000EB"/>
    <w:rsid w:val="00D00202"/>
    <w:rsid w:val="00D00862"/>
    <w:rsid w:val="00D00A5D"/>
    <w:rsid w:val="00D00A87"/>
    <w:rsid w:val="00D01045"/>
    <w:rsid w:val="00D02F2F"/>
    <w:rsid w:val="00D03329"/>
    <w:rsid w:val="00D04533"/>
    <w:rsid w:val="00D04940"/>
    <w:rsid w:val="00D05E5A"/>
    <w:rsid w:val="00D06535"/>
    <w:rsid w:val="00D06D93"/>
    <w:rsid w:val="00D07B0D"/>
    <w:rsid w:val="00D11370"/>
    <w:rsid w:val="00D1160E"/>
    <w:rsid w:val="00D1305C"/>
    <w:rsid w:val="00D13087"/>
    <w:rsid w:val="00D13A97"/>
    <w:rsid w:val="00D149C7"/>
    <w:rsid w:val="00D16FA0"/>
    <w:rsid w:val="00D2017F"/>
    <w:rsid w:val="00D222F1"/>
    <w:rsid w:val="00D22940"/>
    <w:rsid w:val="00D23974"/>
    <w:rsid w:val="00D24428"/>
    <w:rsid w:val="00D24E2E"/>
    <w:rsid w:val="00D2519A"/>
    <w:rsid w:val="00D25507"/>
    <w:rsid w:val="00D26DCE"/>
    <w:rsid w:val="00D27859"/>
    <w:rsid w:val="00D27A0C"/>
    <w:rsid w:val="00D27CE3"/>
    <w:rsid w:val="00D27DF5"/>
    <w:rsid w:val="00D311E0"/>
    <w:rsid w:val="00D3163F"/>
    <w:rsid w:val="00D32A91"/>
    <w:rsid w:val="00D3316C"/>
    <w:rsid w:val="00D33B88"/>
    <w:rsid w:val="00D34138"/>
    <w:rsid w:val="00D36606"/>
    <w:rsid w:val="00D36816"/>
    <w:rsid w:val="00D36CD7"/>
    <w:rsid w:val="00D36ED9"/>
    <w:rsid w:val="00D4101D"/>
    <w:rsid w:val="00D4404B"/>
    <w:rsid w:val="00D44ABA"/>
    <w:rsid w:val="00D45EB6"/>
    <w:rsid w:val="00D4638E"/>
    <w:rsid w:val="00D47E56"/>
    <w:rsid w:val="00D50161"/>
    <w:rsid w:val="00D5130A"/>
    <w:rsid w:val="00D51769"/>
    <w:rsid w:val="00D51F85"/>
    <w:rsid w:val="00D522D8"/>
    <w:rsid w:val="00D52BCF"/>
    <w:rsid w:val="00D52D89"/>
    <w:rsid w:val="00D54174"/>
    <w:rsid w:val="00D5491C"/>
    <w:rsid w:val="00D554E8"/>
    <w:rsid w:val="00D5657D"/>
    <w:rsid w:val="00D5748E"/>
    <w:rsid w:val="00D60B39"/>
    <w:rsid w:val="00D612A9"/>
    <w:rsid w:val="00D61CE2"/>
    <w:rsid w:val="00D61E63"/>
    <w:rsid w:val="00D6201F"/>
    <w:rsid w:val="00D63253"/>
    <w:rsid w:val="00D636BE"/>
    <w:rsid w:val="00D64979"/>
    <w:rsid w:val="00D64A0C"/>
    <w:rsid w:val="00D65DCC"/>
    <w:rsid w:val="00D66935"/>
    <w:rsid w:val="00D702CA"/>
    <w:rsid w:val="00D72A02"/>
    <w:rsid w:val="00D74118"/>
    <w:rsid w:val="00D74693"/>
    <w:rsid w:val="00D74696"/>
    <w:rsid w:val="00D75688"/>
    <w:rsid w:val="00D7589B"/>
    <w:rsid w:val="00D77465"/>
    <w:rsid w:val="00D80021"/>
    <w:rsid w:val="00D807E5"/>
    <w:rsid w:val="00D833BE"/>
    <w:rsid w:val="00D8724C"/>
    <w:rsid w:val="00D8796D"/>
    <w:rsid w:val="00D90DD0"/>
    <w:rsid w:val="00D91773"/>
    <w:rsid w:val="00D938C1"/>
    <w:rsid w:val="00D96479"/>
    <w:rsid w:val="00DA0C2C"/>
    <w:rsid w:val="00DA193F"/>
    <w:rsid w:val="00DA29C7"/>
    <w:rsid w:val="00DA386A"/>
    <w:rsid w:val="00DA47A8"/>
    <w:rsid w:val="00DB0BB5"/>
    <w:rsid w:val="00DB14DD"/>
    <w:rsid w:val="00DB1D21"/>
    <w:rsid w:val="00DB1E1D"/>
    <w:rsid w:val="00DB1F2C"/>
    <w:rsid w:val="00DB203C"/>
    <w:rsid w:val="00DB2897"/>
    <w:rsid w:val="00DB2E73"/>
    <w:rsid w:val="00DB3592"/>
    <w:rsid w:val="00DB485B"/>
    <w:rsid w:val="00DB4C93"/>
    <w:rsid w:val="00DB5F2D"/>
    <w:rsid w:val="00DB7C3F"/>
    <w:rsid w:val="00DC0172"/>
    <w:rsid w:val="00DC01C9"/>
    <w:rsid w:val="00DC198B"/>
    <w:rsid w:val="00DC1993"/>
    <w:rsid w:val="00DC23C9"/>
    <w:rsid w:val="00DC392E"/>
    <w:rsid w:val="00DC3F8A"/>
    <w:rsid w:val="00DC4144"/>
    <w:rsid w:val="00DC45A9"/>
    <w:rsid w:val="00DC744C"/>
    <w:rsid w:val="00DD0482"/>
    <w:rsid w:val="00DD0981"/>
    <w:rsid w:val="00DD1ABC"/>
    <w:rsid w:val="00DD369A"/>
    <w:rsid w:val="00DD4697"/>
    <w:rsid w:val="00DD46E9"/>
    <w:rsid w:val="00DD4EF1"/>
    <w:rsid w:val="00DD59EC"/>
    <w:rsid w:val="00DD77DD"/>
    <w:rsid w:val="00DE0175"/>
    <w:rsid w:val="00DE0D00"/>
    <w:rsid w:val="00DE0D18"/>
    <w:rsid w:val="00DE1208"/>
    <w:rsid w:val="00DE16CD"/>
    <w:rsid w:val="00DE2803"/>
    <w:rsid w:val="00DE6492"/>
    <w:rsid w:val="00DE652F"/>
    <w:rsid w:val="00DE6683"/>
    <w:rsid w:val="00DE7902"/>
    <w:rsid w:val="00DF1358"/>
    <w:rsid w:val="00DF2420"/>
    <w:rsid w:val="00DF280B"/>
    <w:rsid w:val="00DF28B7"/>
    <w:rsid w:val="00DF2EAD"/>
    <w:rsid w:val="00DF43E8"/>
    <w:rsid w:val="00DF4B3E"/>
    <w:rsid w:val="00DF5745"/>
    <w:rsid w:val="00DF68C0"/>
    <w:rsid w:val="00DF7041"/>
    <w:rsid w:val="00DF73BB"/>
    <w:rsid w:val="00DF7F5A"/>
    <w:rsid w:val="00E00303"/>
    <w:rsid w:val="00E0073A"/>
    <w:rsid w:val="00E00FFD"/>
    <w:rsid w:val="00E026FD"/>
    <w:rsid w:val="00E02AE7"/>
    <w:rsid w:val="00E034F6"/>
    <w:rsid w:val="00E04B92"/>
    <w:rsid w:val="00E04C02"/>
    <w:rsid w:val="00E04FBA"/>
    <w:rsid w:val="00E053B2"/>
    <w:rsid w:val="00E0644B"/>
    <w:rsid w:val="00E0799E"/>
    <w:rsid w:val="00E07B7D"/>
    <w:rsid w:val="00E1050F"/>
    <w:rsid w:val="00E11290"/>
    <w:rsid w:val="00E139D5"/>
    <w:rsid w:val="00E14CA5"/>
    <w:rsid w:val="00E14F53"/>
    <w:rsid w:val="00E152DF"/>
    <w:rsid w:val="00E17141"/>
    <w:rsid w:val="00E17D3D"/>
    <w:rsid w:val="00E21601"/>
    <w:rsid w:val="00E21896"/>
    <w:rsid w:val="00E22D1B"/>
    <w:rsid w:val="00E2324A"/>
    <w:rsid w:val="00E235F5"/>
    <w:rsid w:val="00E23783"/>
    <w:rsid w:val="00E2401E"/>
    <w:rsid w:val="00E26411"/>
    <w:rsid w:val="00E264BC"/>
    <w:rsid w:val="00E307B6"/>
    <w:rsid w:val="00E316F5"/>
    <w:rsid w:val="00E339F2"/>
    <w:rsid w:val="00E37AE3"/>
    <w:rsid w:val="00E4154D"/>
    <w:rsid w:val="00E41AD6"/>
    <w:rsid w:val="00E42017"/>
    <w:rsid w:val="00E426B8"/>
    <w:rsid w:val="00E42730"/>
    <w:rsid w:val="00E440D0"/>
    <w:rsid w:val="00E45B52"/>
    <w:rsid w:val="00E46268"/>
    <w:rsid w:val="00E46C51"/>
    <w:rsid w:val="00E50772"/>
    <w:rsid w:val="00E50C8E"/>
    <w:rsid w:val="00E50D89"/>
    <w:rsid w:val="00E545FA"/>
    <w:rsid w:val="00E546E8"/>
    <w:rsid w:val="00E55854"/>
    <w:rsid w:val="00E57279"/>
    <w:rsid w:val="00E60CA2"/>
    <w:rsid w:val="00E628AD"/>
    <w:rsid w:val="00E63771"/>
    <w:rsid w:val="00E64339"/>
    <w:rsid w:val="00E64FF0"/>
    <w:rsid w:val="00E656C5"/>
    <w:rsid w:val="00E66B76"/>
    <w:rsid w:val="00E67669"/>
    <w:rsid w:val="00E677BD"/>
    <w:rsid w:val="00E67AE7"/>
    <w:rsid w:val="00E70C34"/>
    <w:rsid w:val="00E70C44"/>
    <w:rsid w:val="00E72B6E"/>
    <w:rsid w:val="00E73723"/>
    <w:rsid w:val="00E74AD7"/>
    <w:rsid w:val="00E74BE2"/>
    <w:rsid w:val="00E75976"/>
    <w:rsid w:val="00E75E5C"/>
    <w:rsid w:val="00E80693"/>
    <w:rsid w:val="00E82ED4"/>
    <w:rsid w:val="00E8357D"/>
    <w:rsid w:val="00E8373C"/>
    <w:rsid w:val="00E83FCE"/>
    <w:rsid w:val="00E846CA"/>
    <w:rsid w:val="00E85726"/>
    <w:rsid w:val="00E872A7"/>
    <w:rsid w:val="00E878CC"/>
    <w:rsid w:val="00E87EAD"/>
    <w:rsid w:val="00E87F71"/>
    <w:rsid w:val="00E9097C"/>
    <w:rsid w:val="00E91D97"/>
    <w:rsid w:val="00E9205A"/>
    <w:rsid w:val="00E923FD"/>
    <w:rsid w:val="00E924F7"/>
    <w:rsid w:val="00E9332D"/>
    <w:rsid w:val="00E94687"/>
    <w:rsid w:val="00E95DD9"/>
    <w:rsid w:val="00E9647F"/>
    <w:rsid w:val="00E96CB9"/>
    <w:rsid w:val="00E9721B"/>
    <w:rsid w:val="00E97D27"/>
    <w:rsid w:val="00EA1521"/>
    <w:rsid w:val="00EA19E9"/>
    <w:rsid w:val="00EA2418"/>
    <w:rsid w:val="00EA244F"/>
    <w:rsid w:val="00EA369D"/>
    <w:rsid w:val="00EA411E"/>
    <w:rsid w:val="00EA444A"/>
    <w:rsid w:val="00EA539E"/>
    <w:rsid w:val="00EA641F"/>
    <w:rsid w:val="00EA670C"/>
    <w:rsid w:val="00EA6A5A"/>
    <w:rsid w:val="00EB19E0"/>
    <w:rsid w:val="00EB1D1D"/>
    <w:rsid w:val="00EB42A7"/>
    <w:rsid w:val="00EB5649"/>
    <w:rsid w:val="00EB5A80"/>
    <w:rsid w:val="00EC07DD"/>
    <w:rsid w:val="00EC0D7C"/>
    <w:rsid w:val="00EC1115"/>
    <w:rsid w:val="00EC2131"/>
    <w:rsid w:val="00EC2591"/>
    <w:rsid w:val="00EC2F2F"/>
    <w:rsid w:val="00EC3652"/>
    <w:rsid w:val="00EC44F6"/>
    <w:rsid w:val="00EC4915"/>
    <w:rsid w:val="00EC6D38"/>
    <w:rsid w:val="00EC7F14"/>
    <w:rsid w:val="00ED0190"/>
    <w:rsid w:val="00ED2B2B"/>
    <w:rsid w:val="00ED2EBD"/>
    <w:rsid w:val="00ED35A7"/>
    <w:rsid w:val="00ED3BB6"/>
    <w:rsid w:val="00ED450E"/>
    <w:rsid w:val="00ED473B"/>
    <w:rsid w:val="00ED7DCA"/>
    <w:rsid w:val="00EE1A88"/>
    <w:rsid w:val="00EE220A"/>
    <w:rsid w:val="00EE2853"/>
    <w:rsid w:val="00EE627B"/>
    <w:rsid w:val="00EE7A5E"/>
    <w:rsid w:val="00EF0DE4"/>
    <w:rsid w:val="00EF16CA"/>
    <w:rsid w:val="00EF1C9B"/>
    <w:rsid w:val="00EF1DC5"/>
    <w:rsid w:val="00EF26BD"/>
    <w:rsid w:val="00EF5D36"/>
    <w:rsid w:val="00EF5F34"/>
    <w:rsid w:val="00EF66FC"/>
    <w:rsid w:val="00EF71EB"/>
    <w:rsid w:val="00EF72D1"/>
    <w:rsid w:val="00EF7936"/>
    <w:rsid w:val="00F00C01"/>
    <w:rsid w:val="00F0135B"/>
    <w:rsid w:val="00F01FD1"/>
    <w:rsid w:val="00F0247E"/>
    <w:rsid w:val="00F02E73"/>
    <w:rsid w:val="00F03088"/>
    <w:rsid w:val="00F05514"/>
    <w:rsid w:val="00F10028"/>
    <w:rsid w:val="00F10140"/>
    <w:rsid w:val="00F11BAF"/>
    <w:rsid w:val="00F11CE3"/>
    <w:rsid w:val="00F12825"/>
    <w:rsid w:val="00F13644"/>
    <w:rsid w:val="00F14D13"/>
    <w:rsid w:val="00F15AF3"/>
    <w:rsid w:val="00F16213"/>
    <w:rsid w:val="00F16672"/>
    <w:rsid w:val="00F16FDF"/>
    <w:rsid w:val="00F179D0"/>
    <w:rsid w:val="00F17DA4"/>
    <w:rsid w:val="00F17DCE"/>
    <w:rsid w:val="00F21BE2"/>
    <w:rsid w:val="00F21BE9"/>
    <w:rsid w:val="00F22750"/>
    <w:rsid w:val="00F23455"/>
    <w:rsid w:val="00F235C7"/>
    <w:rsid w:val="00F23CA1"/>
    <w:rsid w:val="00F2401A"/>
    <w:rsid w:val="00F24B19"/>
    <w:rsid w:val="00F2646F"/>
    <w:rsid w:val="00F264A0"/>
    <w:rsid w:val="00F264E5"/>
    <w:rsid w:val="00F2696E"/>
    <w:rsid w:val="00F26ECD"/>
    <w:rsid w:val="00F27E65"/>
    <w:rsid w:val="00F34116"/>
    <w:rsid w:val="00F349D4"/>
    <w:rsid w:val="00F34C4A"/>
    <w:rsid w:val="00F35C3B"/>
    <w:rsid w:val="00F3697D"/>
    <w:rsid w:val="00F36B89"/>
    <w:rsid w:val="00F405C9"/>
    <w:rsid w:val="00F40A19"/>
    <w:rsid w:val="00F414CD"/>
    <w:rsid w:val="00F414F8"/>
    <w:rsid w:val="00F41A11"/>
    <w:rsid w:val="00F43AA9"/>
    <w:rsid w:val="00F43CA2"/>
    <w:rsid w:val="00F44435"/>
    <w:rsid w:val="00F44A3E"/>
    <w:rsid w:val="00F44FA1"/>
    <w:rsid w:val="00F4645D"/>
    <w:rsid w:val="00F46639"/>
    <w:rsid w:val="00F46676"/>
    <w:rsid w:val="00F4749C"/>
    <w:rsid w:val="00F47626"/>
    <w:rsid w:val="00F47CAB"/>
    <w:rsid w:val="00F50275"/>
    <w:rsid w:val="00F505C7"/>
    <w:rsid w:val="00F505F4"/>
    <w:rsid w:val="00F508B3"/>
    <w:rsid w:val="00F51366"/>
    <w:rsid w:val="00F53109"/>
    <w:rsid w:val="00F53117"/>
    <w:rsid w:val="00F54824"/>
    <w:rsid w:val="00F55486"/>
    <w:rsid w:val="00F55B14"/>
    <w:rsid w:val="00F566F6"/>
    <w:rsid w:val="00F56CE1"/>
    <w:rsid w:val="00F57532"/>
    <w:rsid w:val="00F6038F"/>
    <w:rsid w:val="00F6186F"/>
    <w:rsid w:val="00F62833"/>
    <w:rsid w:val="00F62B07"/>
    <w:rsid w:val="00F62D01"/>
    <w:rsid w:val="00F62EE5"/>
    <w:rsid w:val="00F64C7D"/>
    <w:rsid w:val="00F64F83"/>
    <w:rsid w:val="00F65050"/>
    <w:rsid w:val="00F65A00"/>
    <w:rsid w:val="00F66746"/>
    <w:rsid w:val="00F669C5"/>
    <w:rsid w:val="00F67F40"/>
    <w:rsid w:val="00F72DEA"/>
    <w:rsid w:val="00F74C04"/>
    <w:rsid w:val="00F75C20"/>
    <w:rsid w:val="00F76413"/>
    <w:rsid w:val="00F76F00"/>
    <w:rsid w:val="00F7731B"/>
    <w:rsid w:val="00F803B0"/>
    <w:rsid w:val="00F8086E"/>
    <w:rsid w:val="00F80C31"/>
    <w:rsid w:val="00F80E14"/>
    <w:rsid w:val="00F80E25"/>
    <w:rsid w:val="00F8166E"/>
    <w:rsid w:val="00F82562"/>
    <w:rsid w:val="00F84101"/>
    <w:rsid w:val="00F8520A"/>
    <w:rsid w:val="00F869B7"/>
    <w:rsid w:val="00F875CD"/>
    <w:rsid w:val="00F876E5"/>
    <w:rsid w:val="00F9005C"/>
    <w:rsid w:val="00F904AE"/>
    <w:rsid w:val="00F91B2C"/>
    <w:rsid w:val="00F925C6"/>
    <w:rsid w:val="00F92F98"/>
    <w:rsid w:val="00F95932"/>
    <w:rsid w:val="00FA0966"/>
    <w:rsid w:val="00FA1419"/>
    <w:rsid w:val="00FA208B"/>
    <w:rsid w:val="00FA267A"/>
    <w:rsid w:val="00FA368A"/>
    <w:rsid w:val="00FA4C90"/>
    <w:rsid w:val="00FA4EEC"/>
    <w:rsid w:val="00FA5127"/>
    <w:rsid w:val="00FA5182"/>
    <w:rsid w:val="00FA6905"/>
    <w:rsid w:val="00FA7A01"/>
    <w:rsid w:val="00FB03E9"/>
    <w:rsid w:val="00FB28CB"/>
    <w:rsid w:val="00FB4456"/>
    <w:rsid w:val="00FB5D74"/>
    <w:rsid w:val="00FB5F5C"/>
    <w:rsid w:val="00FB6220"/>
    <w:rsid w:val="00FB6D84"/>
    <w:rsid w:val="00FB75FC"/>
    <w:rsid w:val="00FC103F"/>
    <w:rsid w:val="00FC1093"/>
    <w:rsid w:val="00FC1673"/>
    <w:rsid w:val="00FC3A0E"/>
    <w:rsid w:val="00FC40EA"/>
    <w:rsid w:val="00FC52FF"/>
    <w:rsid w:val="00FC65A3"/>
    <w:rsid w:val="00FC6CBD"/>
    <w:rsid w:val="00FD046D"/>
    <w:rsid w:val="00FD07A4"/>
    <w:rsid w:val="00FD0A3A"/>
    <w:rsid w:val="00FD14BA"/>
    <w:rsid w:val="00FD16AF"/>
    <w:rsid w:val="00FD1F4D"/>
    <w:rsid w:val="00FD28C6"/>
    <w:rsid w:val="00FD2A3E"/>
    <w:rsid w:val="00FD496E"/>
    <w:rsid w:val="00FD508F"/>
    <w:rsid w:val="00FD5091"/>
    <w:rsid w:val="00FD5C02"/>
    <w:rsid w:val="00FD69A2"/>
    <w:rsid w:val="00FD6FFE"/>
    <w:rsid w:val="00FD7077"/>
    <w:rsid w:val="00FE049F"/>
    <w:rsid w:val="00FE1050"/>
    <w:rsid w:val="00FE116B"/>
    <w:rsid w:val="00FE2700"/>
    <w:rsid w:val="00FE3887"/>
    <w:rsid w:val="00FE3BFD"/>
    <w:rsid w:val="00FE41B2"/>
    <w:rsid w:val="00FE42BA"/>
    <w:rsid w:val="00FE5BBC"/>
    <w:rsid w:val="00FE5DEC"/>
    <w:rsid w:val="00FE6509"/>
    <w:rsid w:val="00FE77ED"/>
    <w:rsid w:val="00FF1B0B"/>
    <w:rsid w:val="00FF3EF8"/>
    <w:rsid w:val="00FF507F"/>
    <w:rsid w:val="00FF634E"/>
    <w:rsid w:val="00FF649E"/>
    <w:rsid w:val="00FF6FE3"/>
    <w:rsid w:val="05B482E3"/>
    <w:rsid w:val="11041DAD"/>
    <w:rsid w:val="1D38DAFD"/>
    <w:rsid w:val="23272055"/>
    <w:rsid w:val="2657C157"/>
    <w:rsid w:val="390C2635"/>
    <w:rsid w:val="58ED34F0"/>
    <w:rsid w:val="6E9858D8"/>
    <w:rsid w:val="724B2FE2"/>
    <w:rsid w:val="7F6959F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rmal Table" w:semiHidden="0" w:unhideWhenUsed="0"/>
    <w:lsdException w:name="No List" w:uiPriority="99"/>
    <w:lsdException w:name="Table Subtle 1" w:semiHidden="0" w:unhideWhenUsed="0"/>
    <w:lsdException w:name="Table Web 2" w:semiHidden="0" w:unhideWhenUsed="0"/>
    <w:lsdException w:name="Table Web 3" w:semiHidden="0" w:unhideWhenUsed="0"/>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0"/>
    <w:next w:val="normal0"/>
    <w:link w:val="Ttulo3Char"/>
    <w:rsid w:val="00EF71EB"/>
    <w:pPr>
      <w:keepNext/>
      <w:keepLines/>
      <w:spacing w:before="280" w:after="80"/>
      <w:outlineLvl w:val="2"/>
    </w:pPr>
    <w:rPr>
      <w:b/>
      <w:sz w:val="28"/>
      <w:szCs w:val="28"/>
    </w:rPr>
  </w:style>
  <w:style w:type="paragraph" w:styleId="Ttulo4">
    <w:name w:val="heading 4"/>
    <w:basedOn w:val="normal0"/>
    <w:next w:val="normal0"/>
    <w:link w:val="Ttulo4Char"/>
    <w:rsid w:val="00EF71EB"/>
    <w:pPr>
      <w:keepNext/>
      <w:keepLines/>
      <w:spacing w:before="240" w:after="40"/>
      <w:outlineLvl w:val="3"/>
    </w:pPr>
    <w:rPr>
      <w:b/>
      <w:sz w:val="24"/>
      <w:szCs w:val="24"/>
    </w:rPr>
  </w:style>
  <w:style w:type="paragraph" w:styleId="Ttulo5">
    <w:name w:val="heading 5"/>
    <w:basedOn w:val="normal0"/>
    <w:next w:val="normal0"/>
    <w:link w:val="Ttulo5Char"/>
    <w:rsid w:val="00EF71EB"/>
    <w:pPr>
      <w:keepNext/>
      <w:keepLines/>
      <w:spacing w:before="220" w:after="40"/>
      <w:outlineLvl w:val="4"/>
    </w:pPr>
    <w:rPr>
      <w:b/>
      <w:sz w:val="22"/>
      <w:szCs w:val="22"/>
    </w:rPr>
  </w:style>
  <w:style w:type="paragraph" w:styleId="Ttulo6">
    <w:name w:val="heading 6"/>
    <w:basedOn w:val="normal0"/>
    <w:next w:val="normal0"/>
    <w:link w:val="Ttulo6Char"/>
    <w:rsid w:val="00EF71EB"/>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unhideWhenUsed/>
    <w:rsid w:val="00342AA1"/>
    <w:rPr>
      <w:sz w:val="16"/>
      <w:szCs w:val="16"/>
    </w:rPr>
  </w:style>
  <w:style w:type="paragraph" w:styleId="Textodecomentrio">
    <w:name w:val="annotation text"/>
    <w:basedOn w:val="Normal"/>
    <w:link w:val="TextodecomentrioChar"/>
    <w:unhideWhenUsed/>
    <w:rsid w:val="00342AA1"/>
    <w:rPr>
      <w:szCs w:val="20"/>
    </w:rPr>
  </w:style>
  <w:style w:type="character" w:customStyle="1" w:styleId="TextodecomentrioChar">
    <w:name w:val="Texto de comentário Char"/>
    <w:basedOn w:val="Fontepargpadro"/>
    <w:link w:val="Textodecomentrio"/>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basedOn w:val="Fontepargpadro"/>
    <w:link w:val="Ttulo1"/>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hAnsi="Arial"/>
      <w:b/>
      <w:bCs/>
      <w:color w:val="000000"/>
    </w:rPr>
  </w:style>
  <w:style w:type="table" w:styleId="Tabelacomgrade">
    <w:name w:val="Table Grid"/>
    <w:basedOn w:val="Tabelanormal"/>
    <w:uiPriority w:val="39"/>
    <w:rsid w:val="000B56AB"/>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character" w:styleId="Forte">
    <w:name w:val="Strong"/>
    <w:basedOn w:val="Fontepargpadro"/>
    <w:uiPriority w:val="22"/>
    <w:qFormat/>
    <w:rsid w:val="00873EE6"/>
    <w:rPr>
      <w:b/>
      <w:bCs/>
    </w:rPr>
  </w:style>
  <w:style w:type="paragraph" w:customStyle="1" w:styleId="PADRO">
    <w:name w:val="PADRÃO"/>
    <w:rsid w:val="002A04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styleId="nfase">
    <w:name w:val="Emphasis"/>
    <w:basedOn w:val="Fontepargpadro"/>
    <w:uiPriority w:val="20"/>
    <w:qFormat/>
    <w:rsid w:val="002F48A7"/>
    <w:rPr>
      <w:i/>
      <w:iCs/>
    </w:rPr>
  </w:style>
  <w:style w:type="paragraph" w:customStyle="1" w:styleId="paragraph">
    <w:name w:val="paragraph"/>
    <w:basedOn w:val="Normal"/>
    <w:rsid w:val="00935224"/>
    <w:pPr>
      <w:spacing w:before="100" w:beforeAutospacing="1" w:after="100" w:afterAutospacing="1"/>
    </w:pPr>
    <w:rPr>
      <w:rFonts w:ascii="Times New Roman" w:hAnsi="Times New Roman" w:cs="Times New Roman"/>
      <w:sz w:val="24"/>
    </w:rPr>
  </w:style>
  <w:style w:type="character" w:customStyle="1" w:styleId="normaltextrun">
    <w:name w:val="normaltextrun"/>
    <w:basedOn w:val="Fontepargpadro"/>
    <w:rsid w:val="00935224"/>
  </w:style>
  <w:style w:type="character" w:customStyle="1" w:styleId="eop">
    <w:name w:val="eop"/>
    <w:basedOn w:val="Fontepargpadro"/>
    <w:rsid w:val="003D47AF"/>
  </w:style>
  <w:style w:type="character" w:customStyle="1" w:styleId="spellingerror">
    <w:name w:val="spellingerror"/>
    <w:basedOn w:val="Fontepargpadro"/>
    <w:rsid w:val="003D47AF"/>
  </w:style>
  <w:style w:type="character" w:customStyle="1" w:styleId="QuoteChar">
    <w:name w:val="Quote Char"/>
    <w:basedOn w:val="Fontepargpadro"/>
    <w:link w:val="Citao1"/>
    <w:uiPriority w:val="99"/>
    <w:rsid w:val="00B929C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qFormat/>
    <w:rsid w:val="00B929C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Cs w:val="20"/>
      <w:lang w:eastAsia="en-US"/>
    </w:rPr>
  </w:style>
  <w:style w:type="character" w:customStyle="1" w:styleId="Manoel">
    <w:name w:val="Manoel"/>
    <w:qFormat/>
    <w:rsid w:val="00A87694"/>
    <w:rPr>
      <w:rFonts w:ascii="Arial" w:hAnsi="Arial" w:cs="Arial"/>
      <w:color w:val="7030A0"/>
      <w:sz w:val="20"/>
    </w:rPr>
  </w:style>
  <w:style w:type="character" w:customStyle="1" w:styleId="ListLabel12">
    <w:name w:val="ListLabel 12"/>
    <w:rsid w:val="001F28BE"/>
    <w:rPr>
      <w:b/>
    </w:rPr>
  </w:style>
  <w:style w:type="paragraph" w:customStyle="1" w:styleId="texto1">
    <w:name w:val="texto1"/>
    <w:basedOn w:val="Normal"/>
    <w:rsid w:val="001F28BE"/>
    <w:pPr>
      <w:spacing w:before="100" w:beforeAutospacing="1" w:after="100" w:afterAutospacing="1"/>
    </w:pPr>
    <w:rPr>
      <w:rFonts w:ascii="Times New Roman" w:hAnsi="Times New Roman" w:cs="Times New Roman"/>
      <w:sz w:val="24"/>
    </w:rPr>
  </w:style>
  <w:style w:type="paragraph" w:customStyle="1" w:styleId="GradeColorida-nfase11">
    <w:name w:val="Grade Colorida - Ênfase 11"/>
    <w:basedOn w:val="Normal"/>
    <w:next w:val="Normal"/>
    <w:link w:val="GradeColorida-nfase1Char"/>
    <w:qFormat/>
    <w:rsid w:val="001F28B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rsid w:val="001F28BE"/>
    <w:rPr>
      <w:rFonts w:ascii="Arial" w:eastAsia="Calibri" w:hAnsi="Arial"/>
      <w:i/>
      <w:iCs/>
      <w:color w:val="000000"/>
      <w:szCs w:val="24"/>
      <w:shd w:val="clear" w:color="auto" w:fill="FFFFCC"/>
      <w:lang w:eastAsia="en-US"/>
    </w:rPr>
  </w:style>
  <w:style w:type="paragraph" w:customStyle="1" w:styleId="xwestern">
    <w:name w:val="x_western"/>
    <w:basedOn w:val="Normal"/>
    <w:rsid w:val="001F28BE"/>
    <w:pPr>
      <w:spacing w:before="100" w:beforeAutospacing="1" w:after="100" w:afterAutospacing="1"/>
    </w:pPr>
    <w:rPr>
      <w:rFonts w:ascii="Times New Roman" w:hAnsi="Times New Roman" w:cs="Times New Roman"/>
      <w:sz w:val="24"/>
    </w:rPr>
  </w:style>
  <w:style w:type="paragraph" w:customStyle="1" w:styleId="TCU-Ac-item9-0">
    <w:name w:val="TCU - Ac - item 9 - §§_0"/>
    <w:basedOn w:val="Normal"/>
    <w:qFormat/>
    <w:rsid w:val="001F28BE"/>
    <w:pPr>
      <w:ind w:firstLine="1134"/>
      <w:jc w:val="both"/>
    </w:pPr>
    <w:rPr>
      <w:rFonts w:ascii="Times New Roman" w:hAnsi="Times New Roman" w:cs="Times New Roman"/>
      <w:sz w:val="24"/>
      <w:szCs w:val="22"/>
      <w:lang w:eastAsia="en-US"/>
    </w:rPr>
  </w:style>
  <w:style w:type="paragraph" w:customStyle="1" w:styleId="Normal1">
    <w:name w:val="Normal_1"/>
    <w:qFormat/>
    <w:rsid w:val="001F28BE"/>
    <w:rPr>
      <w:sz w:val="24"/>
      <w:szCs w:val="22"/>
      <w:lang w:eastAsia="en-US"/>
    </w:rPr>
  </w:style>
  <w:style w:type="paragraph" w:styleId="Corpodetexto">
    <w:name w:val="Body Text"/>
    <w:basedOn w:val="Normal"/>
    <w:link w:val="CorpodetextoChar"/>
    <w:uiPriority w:val="99"/>
    <w:unhideWhenUsed/>
    <w:rsid w:val="001F28BE"/>
    <w:pPr>
      <w:spacing w:before="100" w:beforeAutospacing="1" w:after="100" w:afterAutospacing="1"/>
    </w:pPr>
    <w:rPr>
      <w:rFonts w:ascii="Times New Roman" w:hAnsi="Times New Roman" w:cs="Times New Roman"/>
      <w:sz w:val="24"/>
    </w:rPr>
  </w:style>
  <w:style w:type="character" w:customStyle="1" w:styleId="CorpodetextoChar">
    <w:name w:val="Corpo de texto Char"/>
    <w:basedOn w:val="Fontepargpadro"/>
    <w:link w:val="Corpodetexto"/>
    <w:uiPriority w:val="99"/>
    <w:rsid w:val="001F28BE"/>
    <w:rPr>
      <w:sz w:val="24"/>
      <w:szCs w:val="24"/>
    </w:rPr>
  </w:style>
  <w:style w:type="paragraph" w:customStyle="1" w:styleId="tcu-ac-item9-1linha">
    <w:name w:val="tcu_-__ac_-_item_9_-_1ª_linha"/>
    <w:basedOn w:val="Normal"/>
    <w:rsid w:val="001F28BE"/>
    <w:pPr>
      <w:spacing w:before="100" w:beforeAutospacing="1" w:after="100" w:afterAutospacing="1"/>
    </w:pPr>
    <w:rPr>
      <w:rFonts w:ascii="Times New Roman" w:hAnsi="Times New Roman" w:cs="Times New Roman"/>
      <w:sz w:val="24"/>
    </w:rPr>
  </w:style>
  <w:style w:type="paragraph" w:customStyle="1" w:styleId="textojustificadorecuoprimeiralinha">
    <w:name w:val="texto_justificado_recuo_primeira_linha"/>
    <w:basedOn w:val="Normal"/>
    <w:rsid w:val="001F28BE"/>
    <w:pPr>
      <w:spacing w:before="100" w:beforeAutospacing="1" w:after="100" w:afterAutospacing="1"/>
    </w:pPr>
    <w:rPr>
      <w:rFonts w:ascii="Times New Roman" w:hAnsi="Times New Roman" w:cs="Times New Roman"/>
      <w:sz w:val="24"/>
    </w:rPr>
  </w:style>
  <w:style w:type="character" w:customStyle="1" w:styleId="highlight">
    <w:name w:val="highlight"/>
    <w:basedOn w:val="Fontepargpadro"/>
    <w:rsid w:val="001F28BE"/>
  </w:style>
  <w:style w:type="paragraph" w:customStyle="1" w:styleId="textojustificado">
    <w:name w:val="texto_justificado"/>
    <w:basedOn w:val="Normal"/>
    <w:rsid w:val="001F28BE"/>
    <w:pPr>
      <w:spacing w:before="100" w:beforeAutospacing="1" w:after="100" w:afterAutospacing="1"/>
    </w:pPr>
    <w:rPr>
      <w:rFonts w:ascii="Times New Roman" w:hAnsi="Times New Roman" w:cs="Times New Roman"/>
      <w:sz w:val="24"/>
    </w:rPr>
  </w:style>
  <w:style w:type="character" w:customStyle="1" w:styleId="Nivel1Char">
    <w:name w:val="Nivel1 Char"/>
    <w:basedOn w:val="Ttulo1Char"/>
    <w:link w:val="Nivel1"/>
    <w:qFormat/>
    <w:rsid w:val="00080710"/>
    <w:rPr>
      <w:rFonts w:ascii="Arial" w:eastAsiaTheme="majorEastAsia" w:hAnsi="Arial" w:cs="Arial"/>
      <w:b/>
      <w:bCs w:val="0"/>
      <w:color w:val="000000"/>
      <w:sz w:val="28"/>
      <w:szCs w:val="28"/>
    </w:rPr>
  </w:style>
  <w:style w:type="paragraph" w:customStyle="1" w:styleId="PargrafodaLista1">
    <w:name w:val="Parágrafo da Lista1"/>
    <w:basedOn w:val="Normal"/>
    <w:qFormat/>
    <w:rsid w:val="00096B41"/>
    <w:pPr>
      <w:ind w:left="720"/>
    </w:pPr>
    <w:rPr>
      <w:rFonts w:ascii="Ecofont_Spranq_eco_Sans" w:hAnsi="Ecofont_Spranq_eco_Sans" w:cs="Ecofont_Spranq_eco_Sans"/>
      <w:sz w:val="24"/>
    </w:rPr>
  </w:style>
  <w:style w:type="paragraph" w:customStyle="1" w:styleId="textbody">
    <w:name w:val="textbody"/>
    <w:basedOn w:val="Normal"/>
    <w:rsid w:val="00E87F71"/>
    <w:pPr>
      <w:spacing w:before="100" w:beforeAutospacing="1" w:after="100" w:afterAutospacing="1"/>
    </w:pPr>
    <w:rPr>
      <w:rFonts w:ascii="Times New Roman" w:hAnsi="Times New Roman" w:cs="Times New Roman"/>
      <w:sz w:val="24"/>
    </w:rPr>
  </w:style>
  <w:style w:type="paragraph" w:customStyle="1" w:styleId="textonormal">
    <w:name w:val="texto_normal"/>
    <w:basedOn w:val="Normal"/>
    <w:qFormat/>
    <w:rsid w:val="00E73723"/>
    <w:pPr>
      <w:spacing w:before="100" w:beforeAutospacing="1" w:after="100" w:afterAutospacing="1"/>
    </w:pPr>
    <w:rPr>
      <w:rFonts w:ascii="Times New Roman" w:hAnsi="Times New Roman" w:cs="Times New Roman"/>
      <w:sz w:val="24"/>
    </w:rPr>
  </w:style>
  <w:style w:type="paragraph" w:customStyle="1" w:styleId="Default">
    <w:name w:val="Default"/>
    <w:rsid w:val="00E73723"/>
    <w:pPr>
      <w:autoSpaceDE w:val="0"/>
      <w:autoSpaceDN w:val="0"/>
      <w:adjustRightInd w:val="0"/>
    </w:pPr>
    <w:rPr>
      <w:rFonts w:eastAsiaTheme="minorHAnsi"/>
      <w:color w:val="000000"/>
      <w:sz w:val="24"/>
      <w:szCs w:val="24"/>
      <w:lang w:eastAsia="en-US"/>
    </w:rPr>
  </w:style>
  <w:style w:type="paragraph" w:customStyle="1" w:styleId="justificadoportal">
    <w:name w:val="justificadoportal"/>
    <w:basedOn w:val="Normal"/>
    <w:qFormat/>
    <w:rsid w:val="00E73723"/>
    <w:pPr>
      <w:spacing w:before="100" w:beforeAutospacing="1" w:after="100" w:afterAutospacing="1"/>
    </w:pPr>
    <w:rPr>
      <w:rFonts w:ascii="Times New Roman" w:hAnsi="Times New Roman" w:cs="Times New Roman"/>
      <w:sz w:val="24"/>
    </w:rPr>
  </w:style>
  <w:style w:type="character" w:customStyle="1" w:styleId="MenoPendente1">
    <w:name w:val="Menção Pendente1"/>
    <w:basedOn w:val="Fontepargpadro"/>
    <w:uiPriority w:val="99"/>
    <w:semiHidden/>
    <w:unhideWhenUsed/>
    <w:rsid w:val="00923491"/>
    <w:rPr>
      <w:color w:val="605E5C"/>
      <w:shd w:val="clear" w:color="auto" w:fill="E1DFDD"/>
    </w:rPr>
  </w:style>
  <w:style w:type="character" w:customStyle="1" w:styleId="Ttulo3Char">
    <w:name w:val="Título 3 Char"/>
    <w:basedOn w:val="Fontepargpadro"/>
    <w:link w:val="Ttulo3"/>
    <w:rsid w:val="00EF71EB"/>
    <w:rPr>
      <w:rFonts w:ascii="Arial" w:eastAsia="Arial" w:hAnsi="Arial" w:cs="Arial"/>
      <w:b/>
      <w:sz w:val="28"/>
      <w:szCs w:val="28"/>
    </w:rPr>
  </w:style>
  <w:style w:type="character" w:customStyle="1" w:styleId="Ttulo4Char">
    <w:name w:val="Título 4 Char"/>
    <w:basedOn w:val="Fontepargpadro"/>
    <w:link w:val="Ttulo4"/>
    <w:rsid w:val="00EF71EB"/>
    <w:rPr>
      <w:rFonts w:ascii="Arial" w:eastAsia="Arial" w:hAnsi="Arial" w:cs="Arial"/>
      <w:b/>
      <w:sz w:val="24"/>
      <w:szCs w:val="24"/>
    </w:rPr>
  </w:style>
  <w:style w:type="character" w:customStyle="1" w:styleId="Ttulo5Char">
    <w:name w:val="Título 5 Char"/>
    <w:basedOn w:val="Fontepargpadro"/>
    <w:link w:val="Ttulo5"/>
    <w:rsid w:val="00EF71EB"/>
    <w:rPr>
      <w:rFonts w:ascii="Arial" w:eastAsia="Arial" w:hAnsi="Arial" w:cs="Arial"/>
      <w:b/>
      <w:sz w:val="22"/>
      <w:szCs w:val="22"/>
    </w:rPr>
  </w:style>
  <w:style w:type="character" w:customStyle="1" w:styleId="Ttulo6Char">
    <w:name w:val="Título 6 Char"/>
    <w:basedOn w:val="Fontepargpadro"/>
    <w:link w:val="Ttulo6"/>
    <w:rsid w:val="00EF71EB"/>
    <w:rPr>
      <w:rFonts w:ascii="Arial" w:eastAsia="Arial" w:hAnsi="Arial" w:cs="Arial"/>
      <w:b/>
    </w:rPr>
  </w:style>
  <w:style w:type="paragraph" w:customStyle="1" w:styleId="normal0">
    <w:name w:val="normal"/>
    <w:rsid w:val="00EF71EB"/>
    <w:rPr>
      <w:rFonts w:ascii="Arial" w:eastAsia="Arial" w:hAnsi="Arial" w:cs="Arial"/>
    </w:rPr>
  </w:style>
  <w:style w:type="table" w:customStyle="1" w:styleId="TableNormal">
    <w:name w:val="Table Normal"/>
    <w:rsid w:val="00EF71EB"/>
    <w:rPr>
      <w:rFonts w:ascii="Arial" w:eastAsia="Arial" w:hAnsi="Arial" w:cs="Arial"/>
    </w:rPr>
    <w:tblPr>
      <w:tblCellMar>
        <w:top w:w="0" w:type="dxa"/>
        <w:left w:w="0" w:type="dxa"/>
        <w:bottom w:w="0" w:type="dxa"/>
        <w:right w:w="0" w:type="dxa"/>
      </w:tblCellMar>
    </w:tblPr>
  </w:style>
  <w:style w:type="paragraph" w:styleId="Ttulo">
    <w:name w:val="Title"/>
    <w:basedOn w:val="normal0"/>
    <w:next w:val="normal0"/>
    <w:link w:val="TtuloChar"/>
    <w:rsid w:val="00EF71EB"/>
    <w:pPr>
      <w:keepNext/>
      <w:keepLines/>
      <w:spacing w:before="480" w:after="120"/>
    </w:pPr>
    <w:rPr>
      <w:b/>
      <w:sz w:val="72"/>
      <w:szCs w:val="72"/>
    </w:rPr>
  </w:style>
  <w:style w:type="character" w:customStyle="1" w:styleId="TtuloChar">
    <w:name w:val="Título Char"/>
    <w:basedOn w:val="Fontepargpadro"/>
    <w:link w:val="Ttulo"/>
    <w:rsid w:val="00EF71EB"/>
    <w:rPr>
      <w:rFonts w:ascii="Arial" w:eastAsia="Arial" w:hAnsi="Arial" w:cs="Arial"/>
      <w:b/>
      <w:sz w:val="72"/>
      <w:szCs w:val="72"/>
    </w:rPr>
  </w:style>
  <w:style w:type="character" w:styleId="TextodoEspaoReservado">
    <w:name w:val="Placeholder Text"/>
    <w:basedOn w:val="Fontepargpadro"/>
    <w:uiPriority w:val="99"/>
    <w:semiHidden/>
    <w:rsid w:val="00EF71EB"/>
    <w:rPr>
      <w:color w:val="808080"/>
    </w:rPr>
  </w:style>
  <w:style w:type="paragraph" w:customStyle="1" w:styleId="SombreamentoMdio1-nfase31">
    <w:name w:val="Sombreamento Médio 1 - Ênfase 31"/>
    <w:basedOn w:val="Normal"/>
    <w:next w:val="Normal"/>
    <w:rsid w:val="00EF71EB"/>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character" w:customStyle="1" w:styleId="apple-converted-space">
    <w:name w:val="apple-converted-space"/>
    <w:basedOn w:val="Fontepargpadro"/>
    <w:rsid w:val="00EF71EB"/>
  </w:style>
  <w:style w:type="paragraph" w:customStyle="1" w:styleId="Nivel010">
    <w:name w:val="Nivel_01"/>
    <w:basedOn w:val="Ttulo1"/>
    <w:qFormat/>
    <w:rsid w:val="00EF71EB"/>
    <w:pPr>
      <w:tabs>
        <w:tab w:val="num" w:pos="360"/>
        <w:tab w:val="left" w:pos="567"/>
      </w:tabs>
      <w:spacing w:before="240"/>
      <w:ind w:left="720" w:hanging="360"/>
      <w:jc w:val="both"/>
    </w:pPr>
    <w:rPr>
      <w:rFonts w:ascii="Ecofont_Spranq_eco_Sans" w:hAnsi="Ecofont_Spranq_eco_Sans" w:cs="Times New Roman"/>
      <w:color w:val="auto"/>
      <w:sz w:val="20"/>
      <w:szCs w:val="20"/>
    </w:rPr>
  </w:style>
  <w:style w:type="character" w:customStyle="1" w:styleId="WW8Num2z1">
    <w:name w:val="WW8Num2z1"/>
    <w:rsid w:val="00EF71EB"/>
    <w:rPr>
      <w:i w:val="0"/>
    </w:rPr>
  </w:style>
  <w:style w:type="paragraph" w:customStyle="1" w:styleId="PargrafodaLista2">
    <w:name w:val="Parágrafo da Lista2"/>
    <w:basedOn w:val="Normal"/>
    <w:rsid w:val="00EF71EB"/>
    <w:pPr>
      <w:ind w:left="720"/>
    </w:pPr>
    <w:rPr>
      <w:rFonts w:ascii="Ecofont_Spranq_eco_Sans" w:eastAsia="Arial" w:hAnsi="Ecofont_Spranq_eco_Sans"/>
      <w:sz w:val="24"/>
    </w:rPr>
  </w:style>
  <w:style w:type="paragraph" w:customStyle="1" w:styleId="GradeColorida-nfase110">
    <w:name w:val="Grade Colorida - Ênfase 110"/>
    <w:basedOn w:val="Normal"/>
    <w:next w:val="Normal"/>
    <w:rsid w:val="00EF71E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Arial" w:hAnsi="Ecofont_Spranq_eco_Sans"/>
      <w:i/>
      <w:color w:val="000000"/>
      <w:sz w:val="24"/>
      <w:lang w:eastAsia="en-US"/>
    </w:rPr>
  </w:style>
  <w:style w:type="paragraph" w:customStyle="1" w:styleId="Nivel01Titulo">
    <w:name w:val="Nivel_01_Titulo"/>
    <w:basedOn w:val="Ttulo1"/>
    <w:next w:val="Normal"/>
    <w:link w:val="Nivel01TituloChar"/>
    <w:qFormat/>
    <w:rsid w:val="00EF71EB"/>
    <w:pPr>
      <w:tabs>
        <w:tab w:val="num" w:pos="360"/>
        <w:tab w:val="left" w:pos="567"/>
      </w:tabs>
      <w:spacing w:before="240"/>
      <w:jc w:val="both"/>
    </w:pPr>
    <w:rPr>
      <w:rFonts w:ascii="Arial" w:hAnsi="Arial" w:cs="Times New Roman"/>
      <w:color w:val="auto"/>
      <w:sz w:val="20"/>
      <w:szCs w:val="20"/>
    </w:rPr>
  </w:style>
  <w:style w:type="character" w:customStyle="1" w:styleId="Nivel01TituloChar">
    <w:name w:val="Nivel_01_Titulo Char"/>
    <w:basedOn w:val="Fontepargpadro"/>
    <w:link w:val="Nivel01Titulo"/>
    <w:locked/>
    <w:rsid w:val="00EF71EB"/>
    <w:rPr>
      <w:rFonts w:ascii="Arial" w:eastAsiaTheme="majorEastAsia" w:hAnsi="Arial"/>
      <w:b/>
      <w:bCs/>
    </w:rPr>
  </w:style>
  <w:style w:type="character" w:styleId="Nmerodelinha">
    <w:name w:val="line number"/>
    <w:basedOn w:val="Fontepargpadro"/>
    <w:semiHidden/>
    <w:unhideWhenUsed/>
    <w:rsid w:val="00EF71EB"/>
  </w:style>
  <w:style w:type="character" w:customStyle="1" w:styleId="Nivel2Char">
    <w:name w:val="Nivel 2 Char"/>
    <w:basedOn w:val="Fontepargpadro"/>
    <w:link w:val="Nivel2"/>
    <w:locked/>
    <w:rsid w:val="00EF71EB"/>
    <w:rPr>
      <w:rFonts w:ascii="Ecofont_Spranq_eco_Sans" w:eastAsia="Arial Unicode MS" w:hAnsi="Ecofont_Spranq_eco_Sans"/>
    </w:rPr>
  </w:style>
  <w:style w:type="paragraph" w:customStyle="1" w:styleId="Nivel2">
    <w:name w:val="Nivel 2"/>
    <w:link w:val="Nivel2Char"/>
    <w:qFormat/>
    <w:rsid w:val="00EF71EB"/>
    <w:pPr>
      <w:spacing w:before="120" w:after="120" w:line="276" w:lineRule="auto"/>
      <w:ind w:left="2496" w:hanging="360"/>
      <w:jc w:val="both"/>
    </w:pPr>
    <w:rPr>
      <w:rFonts w:ascii="Ecofont_Spranq_eco_Sans" w:eastAsia="Arial Unicode MS" w:hAnsi="Ecofont_Spranq_eco_Sans"/>
    </w:rPr>
  </w:style>
  <w:style w:type="paragraph" w:customStyle="1" w:styleId="Nivel10">
    <w:name w:val="Nivel 1"/>
    <w:basedOn w:val="Nivel2"/>
    <w:next w:val="Nivel2"/>
    <w:qFormat/>
    <w:rsid w:val="00EF71EB"/>
    <w:pPr>
      <w:tabs>
        <w:tab w:val="num" w:pos="360"/>
      </w:tabs>
      <w:ind w:left="720" w:hanging="432"/>
    </w:pPr>
    <w:rPr>
      <w:b/>
    </w:rPr>
  </w:style>
  <w:style w:type="paragraph" w:customStyle="1" w:styleId="Nivel3">
    <w:name w:val="Nivel 3"/>
    <w:basedOn w:val="Nivel2"/>
    <w:qFormat/>
    <w:rsid w:val="00EF71EB"/>
    <w:pPr>
      <w:numPr>
        <w:ilvl w:val="2"/>
      </w:numPr>
      <w:tabs>
        <w:tab w:val="num" w:pos="360"/>
      </w:tabs>
      <w:ind w:left="2160" w:hanging="180"/>
    </w:pPr>
    <w:rPr>
      <w:color w:val="000000"/>
    </w:rPr>
  </w:style>
  <w:style w:type="paragraph" w:customStyle="1" w:styleId="Nivel4">
    <w:name w:val="Nivel 4"/>
    <w:basedOn w:val="Nivel3"/>
    <w:qFormat/>
    <w:rsid w:val="00EF71EB"/>
    <w:pPr>
      <w:numPr>
        <w:ilvl w:val="3"/>
      </w:numPr>
      <w:tabs>
        <w:tab w:val="num" w:pos="360"/>
      </w:tabs>
      <w:ind w:left="2880" w:hanging="360"/>
    </w:pPr>
    <w:rPr>
      <w:color w:val="auto"/>
    </w:rPr>
  </w:style>
  <w:style w:type="paragraph" w:customStyle="1" w:styleId="Nivel5">
    <w:name w:val="Nivel 5"/>
    <w:basedOn w:val="Nivel4"/>
    <w:qFormat/>
    <w:rsid w:val="00EF71EB"/>
    <w:pPr>
      <w:numPr>
        <w:ilvl w:val="4"/>
      </w:numPr>
      <w:tabs>
        <w:tab w:val="num" w:pos="360"/>
      </w:tabs>
      <w:ind w:left="3600" w:hanging="360"/>
    </w:pPr>
  </w:style>
  <w:style w:type="paragraph" w:customStyle="1" w:styleId="TableParagraph">
    <w:name w:val="Table Paragraph"/>
    <w:basedOn w:val="Normal"/>
    <w:qFormat/>
    <w:rsid w:val="00EF71EB"/>
    <w:pPr>
      <w:widowControl w:val="0"/>
      <w:spacing w:after="200" w:line="276" w:lineRule="auto"/>
    </w:pPr>
    <w:rPr>
      <w:rFonts w:ascii="Times New Roman" w:eastAsia="Arial" w:hAnsi="Times New Roman" w:cs="Times New Roman"/>
      <w:sz w:val="22"/>
      <w:szCs w:val="22"/>
      <w:lang w:val="pt-PT" w:eastAsia="pt-PT" w:bidi="pt-PT"/>
    </w:rPr>
  </w:style>
  <w:style w:type="paragraph" w:styleId="Subttulo">
    <w:name w:val="Subtitle"/>
    <w:basedOn w:val="Normal"/>
    <w:next w:val="Normal"/>
    <w:link w:val="SubttuloChar"/>
    <w:rsid w:val="00EF71EB"/>
    <w:pPr>
      <w:keepNext/>
      <w:keepLines/>
      <w:spacing w:before="360" w:after="80"/>
    </w:pPr>
    <w:rPr>
      <w:rFonts w:ascii="Georgia" w:eastAsia="Georgia" w:hAnsi="Georgia" w:cs="Georgia"/>
      <w:i/>
      <w:color w:val="666666"/>
      <w:sz w:val="48"/>
      <w:szCs w:val="48"/>
    </w:rPr>
  </w:style>
  <w:style w:type="character" w:customStyle="1" w:styleId="SubttuloChar">
    <w:name w:val="Subtítulo Char"/>
    <w:basedOn w:val="Fontepargpadro"/>
    <w:link w:val="Subttulo"/>
    <w:rsid w:val="00EF71EB"/>
    <w:rPr>
      <w:rFonts w:ascii="Georgia" w:eastAsia="Georgia" w:hAnsi="Georgia" w:cs="Georgia"/>
      <w:i/>
      <w:color w:val="666666"/>
      <w:sz w:val="48"/>
      <w:szCs w:val="48"/>
    </w:rPr>
  </w:style>
  <w:style w:type="paragraph" w:customStyle="1" w:styleId="TtulodaTabela">
    <w:name w:val="Título da Tabela"/>
    <w:basedOn w:val="Normal"/>
    <w:rsid w:val="00E97D27"/>
    <w:pPr>
      <w:widowControl w:val="0"/>
      <w:suppressLineNumbers/>
      <w:suppressAutoHyphens/>
      <w:spacing w:after="120"/>
      <w:jc w:val="center"/>
    </w:pPr>
    <w:rPr>
      <w:rFonts w:ascii="Times New Roman" w:eastAsia="Arial Unicode MS" w:hAnsi="Times New Roman" w:cs="Times New Roman"/>
      <w:b/>
      <w:bCs/>
      <w:i/>
      <w:iCs/>
      <w:szCs w:val="20"/>
    </w:rPr>
  </w:style>
  <w:style w:type="paragraph" w:customStyle="1" w:styleId="Corpodetexto21">
    <w:name w:val="Corpo de texto 21"/>
    <w:basedOn w:val="Normal"/>
    <w:rsid w:val="00E97D27"/>
    <w:pPr>
      <w:suppressAutoHyphens/>
      <w:ind w:firstLine="2835"/>
      <w:jc w:val="both"/>
    </w:pPr>
    <w:rPr>
      <w:rFonts w:cs="Times New Roman"/>
      <w:szCs w:val="20"/>
      <w:lang w:eastAsia="ar-SA"/>
    </w:rPr>
  </w:style>
  <w:style w:type="paragraph" w:styleId="SemEspaamento">
    <w:name w:val="No Spacing"/>
    <w:uiPriority w:val="1"/>
    <w:qFormat/>
    <w:rsid w:val="00CB74A6"/>
    <w:rPr>
      <w:rFonts w:ascii="Arial" w:hAnsi="Arial" w:cs="Tahoma"/>
      <w:szCs w:val="24"/>
    </w:rPr>
  </w:style>
</w:styles>
</file>

<file path=word/webSettings.xml><?xml version="1.0" encoding="utf-8"?>
<w:webSettings xmlns:r="http://schemas.openxmlformats.org/officeDocument/2006/relationships" xmlns:w="http://schemas.openxmlformats.org/wordprocessingml/2006/main">
  <w:divs>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67529332">
      <w:bodyDiv w:val="1"/>
      <w:marLeft w:val="0"/>
      <w:marRight w:val="0"/>
      <w:marTop w:val="0"/>
      <w:marBottom w:val="0"/>
      <w:divBdr>
        <w:top w:val="none" w:sz="0" w:space="0" w:color="auto"/>
        <w:left w:val="none" w:sz="0" w:space="0" w:color="auto"/>
        <w:bottom w:val="none" w:sz="0" w:space="0" w:color="auto"/>
        <w:right w:val="none" w:sz="0" w:space="0" w:color="auto"/>
      </w:divBdr>
      <w:divsChild>
        <w:div w:id="954022204">
          <w:marLeft w:val="0"/>
          <w:marRight w:val="0"/>
          <w:marTop w:val="0"/>
          <w:marBottom w:val="0"/>
          <w:divBdr>
            <w:top w:val="none" w:sz="0" w:space="0" w:color="auto"/>
            <w:left w:val="none" w:sz="0" w:space="0" w:color="auto"/>
            <w:bottom w:val="none" w:sz="0" w:space="0" w:color="auto"/>
            <w:right w:val="none" w:sz="0" w:space="0" w:color="auto"/>
          </w:divBdr>
        </w:div>
        <w:div w:id="1056515314">
          <w:marLeft w:val="0"/>
          <w:marRight w:val="0"/>
          <w:marTop w:val="0"/>
          <w:marBottom w:val="0"/>
          <w:divBdr>
            <w:top w:val="none" w:sz="0" w:space="0" w:color="auto"/>
            <w:left w:val="none" w:sz="0" w:space="0" w:color="auto"/>
            <w:bottom w:val="none" w:sz="0" w:space="0" w:color="auto"/>
            <w:right w:val="none" w:sz="0" w:space="0" w:color="auto"/>
          </w:divBdr>
        </w:div>
        <w:div w:id="1535457886">
          <w:marLeft w:val="0"/>
          <w:marRight w:val="0"/>
          <w:marTop w:val="0"/>
          <w:marBottom w:val="0"/>
          <w:divBdr>
            <w:top w:val="none" w:sz="0" w:space="0" w:color="auto"/>
            <w:left w:val="none" w:sz="0" w:space="0" w:color="auto"/>
            <w:bottom w:val="none" w:sz="0" w:space="0" w:color="auto"/>
            <w:right w:val="none" w:sz="0" w:space="0" w:color="auto"/>
          </w:divBdr>
        </w:div>
        <w:div w:id="971057194">
          <w:marLeft w:val="0"/>
          <w:marRight w:val="0"/>
          <w:marTop w:val="0"/>
          <w:marBottom w:val="0"/>
          <w:divBdr>
            <w:top w:val="none" w:sz="0" w:space="0" w:color="auto"/>
            <w:left w:val="none" w:sz="0" w:space="0" w:color="auto"/>
            <w:bottom w:val="none" w:sz="0" w:space="0" w:color="auto"/>
            <w:right w:val="none" w:sz="0" w:space="0" w:color="auto"/>
          </w:divBdr>
        </w:div>
        <w:div w:id="1452360688">
          <w:marLeft w:val="0"/>
          <w:marRight w:val="0"/>
          <w:marTop w:val="0"/>
          <w:marBottom w:val="0"/>
          <w:divBdr>
            <w:top w:val="none" w:sz="0" w:space="0" w:color="auto"/>
            <w:left w:val="none" w:sz="0" w:space="0" w:color="auto"/>
            <w:bottom w:val="none" w:sz="0" w:space="0" w:color="auto"/>
            <w:right w:val="none" w:sz="0" w:space="0" w:color="auto"/>
          </w:divBdr>
        </w:div>
        <w:div w:id="1632590168">
          <w:marLeft w:val="0"/>
          <w:marRight w:val="0"/>
          <w:marTop w:val="0"/>
          <w:marBottom w:val="0"/>
          <w:divBdr>
            <w:top w:val="none" w:sz="0" w:space="0" w:color="auto"/>
            <w:left w:val="none" w:sz="0" w:space="0" w:color="auto"/>
            <w:bottom w:val="none" w:sz="0" w:space="0" w:color="auto"/>
            <w:right w:val="none" w:sz="0" w:space="0" w:color="auto"/>
          </w:divBdr>
        </w:div>
        <w:div w:id="515965428">
          <w:marLeft w:val="0"/>
          <w:marRight w:val="0"/>
          <w:marTop w:val="0"/>
          <w:marBottom w:val="0"/>
          <w:divBdr>
            <w:top w:val="none" w:sz="0" w:space="0" w:color="auto"/>
            <w:left w:val="none" w:sz="0" w:space="0" w:color="auto"/>
            <w:bottom w:val="none" w:sz="0" w:space="0" w:color="auto"/>
            <w:right w:val="none" w:sz="0" w:space="0" w:color="auto"/>
          </w:divBdr>
        </w:div>
        <w:div w:id="1746296158">
          <w:marLeft w:val="0"/>
          <w:marRight w:val="0"/>
          <w:marTop w:val="0"/>
          <w:marBottom w:val="0"/>
          <w:divBdr>
            <w:top w:val="none" w:sz="0" w:space="0" w:color="auto"/>
            <w:left w:val="none" w:sz="0" w:space="0" w:color="auto"/>
            <w:bottom w:val="none" w:sz="0" w:space="0" w:color="auto"/>
            <w:right w:val="none" w:sz="0" w:space="0" w:color="auto"/>
          </w:divBdr>
        </w:div>
      </w:divsChild>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53700200">
      <w:bodyDiv w:val="1"/>
      <w:marLeft w:val="0"/>
      <w:marRight w:val="0"/>
      <w:marTop w:val="0"/>
      <w:marBottom w:val="0"/>
      <w:divBdr>
        <w:top w:val="none" w:sz="0" w:space="0" w:color="auto"/>
        <w:left w:val="none" w:sz="0" w:space="0" w:color="auto"/>
        <w:bottom w:val="none" w:sz="0" w:space="0" w:color="auto"/>
        <w:right w:val="none" w:sz="0" w:space="0" w:color="auto"/>
      </w:divBdr>
    </w:div>
    <w:div w:id="388573190">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28744657">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3291709">
      <w:bodyDiv w:val="1"/>
      <w:marLeft w:val="0"/>
      <w:marRight w:val="0"/>
      <w:marTop w:val="0"/>
      <w:marBottom w:val="0"/>
      <w:divBdr>
        <w:top w:val="none" w:sz="0" w:space="0" w:color="auto"/>
        <w:left w:val="none" w:sz="0" w:space="0" w:color="auto"/>
        <w:bottom w:val="none" w:sz="0" w:space="0" w:color="auto"/>
        <w:right w:val="none" w:sz="0" w:space="0" w:color="auto"/>
      </w:divBdr>
      <w:divsChild>
        <w:div w:id="2112583425">
          <w:marLeft w:val="0"/>
          <w:marRight w:val="0"/>
          <w:marTop w:val="0"/>
          <w:marBottom w:val="120"/>
          <w:divBdr>
            <w:top w:val="none" w:sz="0" w:space="0" w:color="auto"/>
            <w:left w:val="none" w:sz="0" w:space="0" w:color="auto"/>
            <w:bottom w:val="none" w:sz="0" w:space="0" w:color="auto"/>
            <w:right w:val="none" w:sz="0" w:space="0" w:color="auto"/>
          </w:divBdr>
          <w:divsChild>
            <w:div w:id="1676615182">
              <w:marLeft w:val="0"/>
              <w:marRight w:val="0"/>
              <w:marTop w:val="0"/>
              <w:marBottom w:val="0"/>
              <w:divBdr>
                <w:top w:val="none" w:sz="0" w:space="0" w:color="auto"/>
                <w:left w:val="none" w:sz="0" w:space="0" w:color="auto"/>
                <w:bottom w:val="none" w:sz="0" w:space="0" w:color="auto"/>
                <w:right w:val="none" w:sz="0" w:space="0" w:color="auto"/>
              </w:divBdr>
              <w:divsChild>
                <w:div w:id="1579904761">
                  <w:marLeft w:val="0"/>
                  <w:marRight w:val="0"/>
                  <w:marTop w:val="0"/>
                  <w:marBottom w:val="0"/>
                  <w:divBdr>
                    <w:top w:val="none" w:sz="0" w:space="0" w:color="auto"/>
                    <w:left w:val="none" w:sz="0" w:space="0" w:color="auto"/>
                    <w:bottom w:val="none" w:sz="0" w:space="0" w:color="auto"/>
                    <w:right w:val="none" w:sz="0" w:space="0" w:color="auto"/>
                  </w:divBdr>
                </w:div>
                <w:div w:id="1869415368">
                  <w:marLeft w:val="0"/>
                  <w:marRight w:val="0"/>
                  <w:marTop w:val="0"/>
                  <w:marBottom w:val="0"/>
                  <w:divBdr>
                    <w:top w:val="none" w:sz="0" w:space="0" w:color="auto"/>
                    <w:left w:val="none" w:sz="0" w:space="0" w:color="auto"/>
                    <w:bottom w:val="none" w:sz="0" w:space="0" w:color="auto"/>
                    <w:right w:val="none" w:sz="0" w:space="0" w:color="auto"/>
                  </w:divBdr>
                </w:div>
                <w:div w:id="720636151">
                  <w:marLeft w:val="0"/>
                  <w:marRight w:val="0"/>
                  <w:marTop w:val="0"/>
                  <w:marBottom w:val="0"/>
                  <w:divBdr>
                    <w:top w:val="none" w:sz="0" w:space="0" w:color="auto"/>
                    <w:left w:val="none" w:sz="0" w:space="0" w:color="auto"/>
                    <w:bottom w:val="none" w:sz="0" w:space="0" w:color="auto"/>
                    <w:right w:val="none" w:sz="0" w:space="0" w:color="auto"/>
                  </w:divBdr>
                </w:div>
                <w:div w:id="2034728573">
                  <w:marLeft w:val="0"/>
                  <w:marRight w:val="0"/>
                  <w:marTop w:val="0"/>
                  <w:marBottom w:val="0"/>
                  <w:divBdr>
                    <w:top w:val="none" w:sz="0" w:space="0" w:color="auto"/>
                    <w:left w:val="none" w:sz="0" w:space="0" w:color="auto"/>
                    <w:bottom w:val="none" w:sz="0" w:space="0" w:color="auto"/>
                    <w:right w:val="none" w:sz="0" w:space="0" w:color="auto"/>
                  </w:divBdr>
                </w:div>
                <w:div w:id="973214037">
                  <w:marLeft w:val="0"/>
                  <w:marRight w:val="0"/>
                  <w:marTop w:val="0"/>
                  <w:marBottom w:val="0"/>
                  <w:divBdr>
                    <w:top w:val="none" w:sz="0" w:space="0" w:color="auto"/>
                    <w:left w:val="none" w:sz="0" w:space="0" w:color="auto"/>
                    <w:bottom w:val="none" w:sz="0" w:space="0" w:color="auto"/>
                    <w:right w:val="none" w:sz="0" w:space="0" w:color="auto"/>
                  </w:divBdr>
                </w:div>
                <w:div w:id="1988704945">
                  <w:marLeft w:val="0"/>
                  <w:marRight w:val="0"/>
                  <w:marTop w:val="0"/>
                  <w:marBottom w:val="0"/>
                  <w:divBdr>
                    <w:top w:val="none" w:sz="0" w:space="0" w:color="auto"/>
                    <w:left w:val="none" w:sz="0" w:space="0" w:color="auto"/>
                    <w:bottom w:val="none" w:sz="0" w:space="0" w:color="auto"/>
                    <w:right w:val="none" w:sz="0" w:space="0" w:color="auto"/>
                  </w:divBdr>
                </w:div>
                <w:div w:id="814491452">
                  <w:marLeft w:val="0"/>
                  <w:marRight w:val="0"/>
                  <w:marTop w:val="0"/>
                  <w:marBottom w:val="0"/>
                  <w:divBdr>
                    <w:top w:val="none" w:sz="0" w:space="0" w:color="auto"/>
                    <w:left w:val="none" w:sz="0" w:space="0" w:color="auto"/>
                    <w:bottom w:val="none" w:sz="0" w:space="0" w:color="auto"/>
                    <w:right w:val="none" w:sz="0" w:space="0" w:color="auto"/>
                  </w:divBdr>
                </w:div>
                <w:div w:id="899051518">
                  <w:marLeft w:val="0"/>
                  <w:marRight w:val="0"/>
                  <w:marTop w:val="0"/>
                  <w:marBottom w:val="0"/>
                  <w:divBdr>
                    <w:top w:val="none" w:sz="0" w:space="0" w:color="auto"/>
                    <w:left w:val="none" w:sz="0" w:space="0" w:color="auto"/>
                    <w:bottom w:val="none" w:sz="0" w:space="0" w:color="auto"/>
                    <w:right w:val="none" w:sz="0" w:space="0" w:color="auto"/>
                  </w:divBdr>
                </w:div>
                <w:div w:id="21321868">
                  <w:marLeft w:val="0"/>
                  <w:marRight w:val="0"/>
                  <w:marTop w:val="0"/>
                  <w:marBottom w:val="0"/>
                  <w:divBdr>
                    <w:top w:val="none" w:sz="0" w:space="0" w:color="auto"/>
                    <w:left w:val="none" w:sz="0" w:space="0" w:color="auto"/>
                    <w:bottom w:val="none" w:sz="0" w:space="0" w:color="auto"/>
                    <w:right w:val="none" w:sz="0" w:space="0" w:color="auto"/>
                  </w:divBdr>
                </w:div>
                <w:div w:id="579868667">
                  <w:marLeft w:val="0"/>
                  <w:marRight w:val="0"/>
                  <w:marTop w:val="0"/>
                  <w:marBottom w:val="0"/>
                  <w:divBdr>
                    <w:top w:val="none" w:sz="0" w:space="0" w:color="auto"/>
                    <w:left w:val="none" w:sz="0" w:space="0" w:color="auto"/>
                    <w:bottom w:val="none" w:sz="0" w:space="0" w:color="auto"/>
                    <w:right w:val="none" w:sz="0" w:space="0" w:color="auto"/>
                  </w:divBdr>
                </w:div>
                <w:div w:id="25257051">
                  <w:marLeft w:val="0"/>
                  <w:marRight w:val="0"/>
                  <w:marTop w:val="0"/>
                  <w:marBottom w:val="0"/>
                  <w:divBdr>
                    <w:top w:val="none" w:sz="0" w:space="0" w:color="auto"/>
                    <w:left w:val="none" w:sz="0" w:space="0" w:color="auto"/>
                    <w:bottom w:val="none" w:sz="0" w:space="0" w:color="auto"/>
                    <w:right w:val="none" w:sz="0" w:space="0" w:color="auto"/>
                  </w:divBdr>
                </w:div>
                <w:div w:id="207884790">
                  <w:marLeft w:val="0"/>
                  <w:marRight w:val="0"/>
                  <w:marTop w:val="0"/>
                  <w:marBottom w:val="0"/>
                  <w:divBdr>
                    <w:top w:val="none" w:sz="0" w:space="0" w:color="auto"/>
                    <w:left w:val="none" w:sz="0" w:space="0" w:color="auto"/>
                    <w:bottom w:val="none" w:sz="0" w:space="0" w:color="auto"/>
                    <w:right w:val="none" w:sz="0" w:space="0" w:color="auto"/>
                  </w:divBdr>
                </w:div>
                <w:div w:id="556212143">
                  <w:marLeft w:val="0"/>
                  <w:marRight w:val="0"/>
                  <w:marTop w:val="0"/>
                  <w:marBottom w:val="0"/>
                  <w:divBdr>
                    <w:top w:val="none" w:sz="0" w:space="0" w:color="auto"/>
                    <w:left w:val="none" w:sz="0" w:space="0" w:color="auto"/>
                    <w:bottom w:val="none" w:sz="0" w:space="0" w:color="auto"/>
                    <w:right w:val="none" w:sz="0" w:space="0" w:color="auto"/>
                  </w:divBdr>
                </w:div>
                <w:div w:id="48597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26889">
          <w:marLeft w:val="0"/>
          <w:marRight w:val="0"/>
          <w:marTop w:val="0"/>
          <w:marBottom w:val="120"/>
          <w:divBdr>
            <w:top w:val="none" w:sz="0" w:space="0" w:color="auto"/>
            <w:left w:val="none" w:sz="0" w:space="0" w:color="auto"/>
            <w:bottom w:val="none" w:sz="0" w:space="0" w:color="auto"/>
            <w:right w:val="none" w:sz="0" w:space="0" w:color="auto"/>
          </w:divBdr>
          <w:divsChild>
            <w:div w:id="1081298394">
              <w:marLeft w:val="0"/>
              <w:marRight w:val="0"/>
              <w:marTop w:val="0"/>
              <w:marBottom w:val="0"/>
              <w:divBdr>
                <w:top w:val="none" w:sz="0" w:space="0" w:color="auto"/>
                <w:left w:val="none" w:sz="0" w:space="0" w:color="auto"/>
                <w:bottom w:val="none" w:sz="0" w:space="0" w:color="auto"/>
                <w:right w:val="none" w:sz="0" w:space="0" w:color="auto"/>
              </w:divBdr>
              <w:divsChild>
                <w:div w:id="356397641">
                  <w:marLeft w:val="0"/>
                  <w:marRight w:val="0"/>
                  <w:marTop w:val="0"/>
                  <w:marBottom w:val="0"/>
                  <w:divBdr>
                    <w:top w:val="none" w:sz="0" w:space="0" w:color="auto"/>
                    <w:left w:val="none" w:sz="0" w:space="0" w:color="auto"/>
                    <w:bottom w:val="none" w:sz="0" w:space="0" w:color="auto"/>
                    <w:right w:val="none" w:sz="0" w:space="0" w:color="auto"/>
                  </w:divBdr>
                </w:div>
                <w:div w:id="879632996">
                  <w:marLeft w:val="0"/>
                  <w:marRight w:val="0"/>
                  <w:marTop w:val="0"/>
                  <w:marBottom w:val="0"/>
                  <w:divBdr>
                    <w:top w:val="none" w:sz="0" w:space="0" w:color="auto"/>
                    <w:left w:val="none" w:sz="0" w:space="0" w:color="auto"/>
                    <w:bottom w:val="none" w:sz="0" w:space="0" w:color="auto"/>
                    <w:right w:val="none" w:sz="0" w:space="0" w:color="auto"/>
                  </w:divBdr>
                </w:div>
                <w:div w:id="1713458999">
                  <w:marLeft w:val="0"/>
                  <w:marRight w:val="0"/>
                  <w:marTop w:val="0"/>
                  <w:marBottom w:val="0"/>
                  <w:divBdr>
                    <w:top w:val="none" w:sz="0" w:space="0" w:color="auto"/>
                    <w:left w:val="none" w:sz="0" w:space="0" w:color="auto"/>
                    <w:bottom w:val="none" w:sz="0" w:space="0" w:color="auto"/>
                    <w:right w:val="none" w:sz="0" w:space="0" w:color="auto"/>
                  </w:divBdr>
                </w:div>
                <w:div w:id="45420092">
                  <w:marLeft w:val="0"/>
                  <w:marRight w:val="0"/>
                  <w:marTop w:val="0"/>
                  <w:marBottom w:val="0"/>
                  <w:divBdr>
                    <w:top w:val="none" w:sz="0" w:space="0" w:color="auto"/>
                    <w:left w:val="none" w:sz="0" w:space="0" w:color="auto"/>
                    <w:bottom w:val="none" w:sz="0" w:space="0" w:color="auto"/>
                    <w:right w:val="none" w:sz="0" w:space="0" w:color="auto"/>
                  </w:divBdr>
                </w:div>
                <w:div w:id="653728837">
                  <w:marLeft w:val="0"/>
                  <w:marRight w:val="0"/>
                  <w:marTop w:val="0"/>
                  <w:marBottom w:val="0"/>
                  <w:divBdr>
                    <w:top w:val="none" w:sz="0" w:space="0" w:color="auto"/>
                    <w:left w:val="none" w:sz="0" w:space="0" w:color="auto"/>
                    <w:bottom w:val="none" w:sz="0" w:space="0" w:color="auto"/>
                    <w:right w:val="none" w:sz="0" w:space="0" w:color="auto"/>
                  </w:divBdr>
                </w:div>
                <w:div w:id="344214825">
                  <w:marLeft w:val="0"/>
                  <w:marRight w:val="0"/>
                  <w:marTop w:val="0"/>
                  <w:marBottom w:val="0"/>
                  <w:divBdr>
                    <w:top w:val="none" w:sz="0" w:space="0" w:color="auto"/>
                    <w:left w:val="none" w:sz="0" w:space="0" w:color="auto"/>
                    <w:bottom w:val="none" w:sz="0" w:space="0" w:color="auto"/>
                    <w:right w:val="none" w:sz="0" w:space="0" w:color="auto"/>
                  </w:divBdr>
                </w:div>
                <w:div w:id="120802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902266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70367436">
      <w:bodyDiv w:val="1"/>
      <w:marLeft w:val="0"/>
      <w:marRight w:val="0"/>
      <w:marTop w:val="0"/>
      <w:marBottom w:val="0"/>
      <w:divBdr>
        <w:top w:val="none" w:sz="0" w:space="0" w:color="auto"/>
        <w:left w:val="none" w:sz="0" w:space="0" w:color="auto"/>
        <w:bottom w:val="none" w:sz="0" w:space="0" w:color="auto"/>
        <w:right w:val="none" w:sz="0" w:space="0" w:color="auto"/>
      </w:divBdr>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4891991">
      <w:bodyDiv w:val="1"/>
      <w:marLeft w:val="0"/>
      <w:marRight w:val="0"/>
      <w:marTop w:val="0"/>
      <w:marBottom w:val="0"/>
      <w:divBdr>
        <w:top w:val="none" w:sz="0" w:space="0" w:color="auto"/>
        <w:left w:val="none" w:sz="0" w:space="0" w:color="auto"/>
        <w:bottom w:val="none" w:sz="0" w:space="0" w:color="auto"/>
        <w:right w:val="none" w:sz="0" w:space="0" w:color="auto"/>
      </w:divBdr>
    </w:div>
    <w:div w:id="1334449720">
      <w:bodyDiv w:val="1"/>
      <w:marLeft w:val="0"/>
      <w:marRight w:val="0"/>
      <w:marTop w:val="0"/>
      <w:marBottom w:val="0"/>
      <w:divBdr>
        <w:top w:val="none" w:sz="0" w:space="0" w:color="auto"/>
        <w:left w:val="none" w:sz="0" w:space="0" w:color="auto"/>
        <w:bottom w:val="none" w:sz="0" w:space="0" w:color="auto"/>
        <w:right w:val="none" w:sz="0" w:space="0" w:color="auto"/>
      </w:divBdr>
      <w:divsChild>
        <w:div w:id="1996183402">
          <w:marLeft w:val="0"/>
          <w:marRight w:val="0"/>
          <w:marTop w:val="0"/>
          <w:marBottom w:val="0"/>
          <w:divBdr>
            <w:top w:val="none" w:sz="0" w:space="0" w:color="auto"/>
            <w:left w:val="none" w:sz="0" w:space="0" w:color="auto"/>
            <w:bottom w:val="none" w:sz="0" w:space="0" w:color="auto"/>
            <w:right w:val="none" w:sz="0" w:space="0" w:color="auto"/>
          </w:divBdr>
        </w:div>
        <w:div w:id="230048056">
          <w:marLeft w:val="0"/>
          <w:marRight w:val="0"/>
          <w:marTop w:val="0"/>
          <w:marBottom w:val="0"/>
          <w:divBdr>
            <w:top w:val="none" w:sz="0" w:space="0" w:color="auto"/>
            <w:left w:val="none" w:sz="0" w:space="0" w:color="auto"/>
            <w:bottom w:val="none" w:sz="0" w:space="0" w:color="auto"/>
            <w:right w:val="none" w:sz="0" w:space="0" w:color="auto"/>
          </w:divBdr>
        </w:div>
        <w:div w:id="440954010">
          <w:marLeft w:val="0"/>
          <w:marRight w:val="0"/>
          <w:marTop w:val="0"/>
          <w:marBottom w:val="0"/>
          <w:divBdr>
            <w:top w:val="none" w:sz="0" w:space="0" w:color="auto"/>
            <w:left w:val="none" w:sz="0" w:space="0" w:color="auto"/>
            <w:bottom w:val="none" w:sz="0" w:space="0" w:color="auto"/>
            <w:right w:val="none" w:sz="0" w:space="0" w:color="auto"/>
          </w:divBdr>
        </w:div>
        <w:div w:id="1900436556">
          <w:marLeft w:val="0"/>
          <w:marRight w:val="0"/>
          <w:marTop w:val="0"/>
          <w:marBottom w:val="0"/>
          <w:divBdr>
            <w:top w:val="none" w:sz="0" w:space="0" w:color="auto"/>
            <w:left w:val="none" w:sz="0" w:space="0" w:color="auto"/>
            <w:bottom w:val="none" w:sz="0" w:space="0" w:color="auto"/>
            <w:right w:val="none" w:sz="0" w:space="0" w:color="auto"/>
          </w:divBdr>
        </w:div>
        <w:div w:id="1771663737">
          <w:marLeft w:val="0"/>
          <w:marRight w:val="0"/>
          <w:marTop w:val="0"/>
          <w:marBottom w:val="0"/>
          <w:divBdr>
            <w:top w:val="none" w:sz="0" w:space="0" w:color="auto"/>
            <w:left w:val="none" w:sz="0" w:space="0" w:color="auto"/>
            <w:bottom w:val="none" w:sz="0" w:space="0" w:color="auto"/>
            <w:right w:val="none" w:sz="0" w:space="0" w:color="auto"/>
          </w:divBdr>
        </w:div>
        <w:div w:id="1583566600">
          <w:marLeft w:val="0"/>
          <w:marRight w:val="0"/>
          <w:marTop w:val="0"/>
          <w:marBottom w:val="0"/>
          <w:divBdr>
            <w:top w:val="none" w:sz="0" w:space="0" w:color="auto"/>
            <w:left w:val="none" w:sz="0" w:space="0" w:color="auto"/>
            <w:bottom w:val="none" w:sz="0" w:space="0" w:color="auto"/>
            <w:right w:val="none" w:sz="0" w:space="0" w:color="auto"/>
          </w:divBdr>
        </w:div>
        <w:div w:id="2051109688">
          <w:marLeft w:val="0"/>
          <w:marRight w:val="0"/>
          <w:marTop w:val="0"/>
          <w:marBottom w:val="0"/>
          <w:divBdr>
            <w:top w:val="none" w:sz="0" w:space="0" w:color="auto"/>
            <w:left w:val="none" w:sz="0" w:space="0" w:color="auto"/>
            <w:bottom w:val="none" w:sz="0" w:space="0" w:color="auto"/>
            <w:right w:val="none" w:sz="0" w:space="0" w:color="auto"/>
          </w:divBdr>
        </w:div>
        <w:div w:id="1523014437">
          <w:marLeft w:val="0"/>
          <w:marRight w:val="0"/>
          <w:marTop w:val="0"/>
          <w:marBottom w:val="0"/>
          <w:divBdr>
            <w:top w:val="none" w:sz="0" w:space="0" w:color="auto"/>
            <w:left w:val="none" w:sz="0" w:space="0" w:color="auto"/>
            <w:bottom w:val="none" w:sz="0" w:space="0" w:color="auto"/>
            <w:right w:val="none" w:sz="0" w:space="0" w:color="auto"/>
          </w:divBdr>
        </w:div>
      </w:divsChild>
    </w:div>
    <w:div w:id="1337414802">
      <w:bodyDiv w:val="1"/>
      <w:marLeft w:val="0"/>
      <w:marRight w:val="0"/>
      <w:marTop w:val="0"/>
      <w:marBottom w:val="0"/>
      <w:divBdr>
        <w:top w:val="none" w:sz="0" w:space="0" w:color="auto"/>
        <w:left w:val="none" w:sz="0" w:space="0" w:color="auto"/>
        <w:bottom w:val="none" w:sz="0" w:space="0" w:color="auto"/>
        <w:right w:val="none" w:sz="0" w:space="0" w:color="auto"/>
      </w:divBdr>
    </w:div>
    <w:div w:id="1407072728">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77724476">
      <w:bodyDiv w:val="1"/>
      <w:marLeft w:val="0"/>
      <w:marRight w:val="0"/>
      <w:marTop w:val="0"/>
      <w:marBottom w:val="0"/>
      <w:divBdr>
        <w:top w:val="none" w:sz="0" w:space="0" w:color="auto"/>
        <w:left w:val="none" w:sz="0" w:space="0" w:color="auto"/>
        <w:bottom w:val="none" w:sz="0" w:space="0" w:color="auto"/>
        <w:right w:val="none" w:sz="0" w:space="0" w:color="auto"/>
      </w:divBdr>
      <w:divsChild>
        <w:div w:id="588271025">
          <w:marLeft w:val="0"/>
          <w:marRight w:val="0"/>
          <w:marTop w:val="0"/>
          <w:marBottom w:val="120"/>
          <w:divBdr>
            <w:top w:val="none" w:sz="0" w:space="0" w:color="auto"/>
            <w:left w:val="none" w:sz="0" w:space="0" w:color="auto"/>
            <w:bottom w:val="none" w:sz="0" w:space="0" w:color="auto"/>
            <w:right w:val="none" w:sz="0" w:space="0" w:color="auto"/>
          </w:divBdr>
          <w:divsChild>
            <w:div w:id="1812404223">
              <w:marLeft w:val="0"/>
              <w:marRight w:val="0"/>
              <w:marTop w:val="0"/>
              <w:marBottom w:val="0"/>
              <w:divBdr>
                <w:top w:val="none" w:sz="0" w:space="0" w:color="auto"/>
                <w:left w:val="none" w:sz="0" w:space="0" w:color="auto"/>
                <w:bottom w:val="none" w:sz="0" w:space="0" w:color="auto"/>
                <w:right w:val="none" w:sz="0" w:space="0" w:color="auto"/>
              </w:divBdr>
              <w:divsChild>
                <w:div w:id="823856049">
                  <w:marLeft w:val="0"/>
                  <w:marRight w:val="0"/>
                  <w:marTop w:val="0"/>
                  <w:marBottom w:val="0"/>
                  <w:divBdr>
                    <w:top w:val="none" w:sz="0" w:space="0" w:color="auto"/>
                    <w:left w:val="none" w:sz="0" w:space="0" w:color="auto"/>
                    <w:bottom w:val="none" w:sz="0" w:space="0" w:color="auto"/>
                    <w:right w:val="none" w:sz="0" w:space="0" w:color="auto"/>
                  </w:divBdr>
                </w:div>
                <w:div w:id="182330494">
                  <w:marLeft w:val="0"/>
                  <w:marRight w:val="0"/>
                  <w:marTop w:val="0"/>
                  <w:marBottom w:val="0"/>
                  <w:divBdr>
                    <w:top w:val="none" w:sz="0" w:space="0" w:color="auto"/>
                    <w:left w:val="none" w:sz="0" w:space="0" w:color="auto"/>
                    <w:bottom w:val="none" w:sz="0" w:space="0" w:color="auto"/>
                    <w:right w:val="none" w:sz="0" w:space="0" w:color="auto"/>
                  </w:divBdr>
                </w:div>
                <w:div w:id="135344984">
                  <w:marLeft w:val="0"/>
                  <w:marRight w:val="0"/>
                  <w:marTop w:val="0"/>
                  <w:marBottom w:val="0"/>
                  <w:divBdr>
                    <w:top w:val="none" w:sz="0" w:space="0" w:color="auto"/>
                    <w:left w:val="none" w:sz="0" w:space="0" w:color="auto"/>
                    <w:bottom w:val="none" w:sz="0" w:space="0" w:color="auto"/>
                    <w:right w:val="none" w:sz="0" w:space="0" w:color="auto"/>
                  </w:divBdr>
                </w:div>
                <w:div w:id="1485077825">
                  <w:marLeft w:val="0"/>
                  <w:marRight w:val="0"/>
                  <w:marTop w:val="0"/>
                  <w:marBottom w:val="0"/>
                  <w:divBdr>
                    <w:top w:val="none" w:sz="0" w:space="0" w:color="auto"/>
                    <w:left w:val="none" w:sz="0" w:space="0" w:color="auto"/>
                    <w:bottom w:val="none" w:sz="0" w:space="0" w:color="auto"/>
                    <w:right w:val="none" w:sz="0" w:space="0" w:color="auto"/>
                  </w:divBdr>
                </w:div>
                <w:div w:id="1096289647">
                  <w:marLeft w:val="0"/>
                  <w:marRight w:val="0"/>
                  <w:marTop w:val="0"/>
                  <w:marBottom w:val="0"/>
                  <w:divBdr>
                    <w:top w:val="none" w:sz="0" w:space="0" w:color="auto"/>
                    <w:left w:val="none" w:sz="0" w:space="0" w:color="auto"/>
                    <w:bottom w:val="none" w:sz="0" w:space="0" w:color="auto"/>
                    <w:right w:val="none" w:sz="0" w:space="0" w:color="auto"/>
                  </w:divBdr>
                </w:div>
                <w:div w:id="1639414913">
                  <w:marLeft w:val="0"/>
                  <w:marRight w:val="0"/>
                  <w:marTop w:val="0"/>
                  <w:marBottom w:val="0"/>
                  <w:divBdr>
                    <w:top w:val="none" w:sz="0" w:space="0" w:color="auto"/>
                    <w:left w:val="none" w:sz="0" w:space="0" w:color="auto"/>
                    <w:bottom w:val="none" w:sz="0" w:space="0" w:color="auto"/>
                    <w:right w:val="none" w:sz="0" w:space="0" w:color="auto"/>
                  </w:divBdr>
                </w:div>
                <w:div w:id="2084595454">
                  <w:marLeft w:val="0"/>
                  <w:marRight w:val="0"/>
                  <w:marTop w:val="0"/>
                  <w:marBottom w:val="0"/>
                  <w:divBdr>
                    <w:top w:val="none" w:sz="0" w:space="0" w:color="auto"/>
                    <w:left w:val="none" w:sz="0" w:space="0" w:color="auto"/>
                    <w:bottom w:val="none" w:sz="0" w:space="0" w:color="auto"/>
                    <w:right w:val="none" w:sz="0" w:space="0" w:color="auto"/>
                  </w:divBdr>
                </w:div>
                <w:div w:id="1104299255">
                  <w:marLeft w:val="0"/>
                  <w:marRight w:val="0"/>
                  <w:marTop w:val="0"/>
                  <w:marBottom w:val="0"/>
                  <w:divBdr>
                    <w:top w:val="none" w:sz="0" w:space="0" w:color="auto"/>
                    <w:left w:val="none" w:sz="0" w:space="0" w:color="auto"/>
                    <w:bottom w:val="none" w:sz="0" w:space="0" w:color="auto"/>
                    <w:right w:val="none" w:sz="0" w:space="0" w:color="auto"/>
                  </w:divBdr>
                </w:div>
                <w:div w:id="1482191434">
                  <w:marLeft w:val="0"/>
                  <w:marRight w:val="0"/>
                  <w:marTop w:val="0"/>
                  <w:marBottom w:val="0"/>
                  <w:divBdr>
                    <w:top w:val="none" w:sz="0" w:space="0" w:color="auto"/>
                    <w:left w:val="none" w:sz="0" w:space="0" w:color="auto"/>
                    <w:bottom w:val="none" w:sz="0" w:space="0" w:color="auto"/>
                    <w:right w:val="none" w:sz="0" w:space="0" w:color="auto"/>
                  </w:divBdr>
                </w:div>
                <w:div w:id="416438552">
                  <w:marLeft w:val="0"/>
                  <w:marRight w:val="0"/>
                  <w:marTop w:val="0"/>
                  <w:marBottom w:val="0"/>
                  <w:divBdr>
                    <w:top w:val="none" w:sz="0" w:space="0" w:color="auto"/>
                    <w:left w:val="none" w:sz="0" w:space="0" w:color="auto"/>
                    <w:bottom w:val="none" w:sz="0" w:space="0" w:color="auto"/>
                    <w:right w:val="none" w:sz="0" w:space="0" w:color="auto"/>
                  </w:divBdr>
                </w:div>
                <w:div w:id="541330291">
                  <w:marLeft w:val="0"/>
                  <w:marRight w:val="0"/>
                  <w:marTop w:val="0"/>
                  <w:marBottom w:val="0"/>
                  <w:divBdr>
                    <w:top w:val="none" w:sz="0" w:space="0" w:color="auto"/>
                    <w:left w:val="none" w:sz="0" w:space="0" w:color="auto"/>
                    <w:bottom w:val="none" w:sz="0" w:space="0" w:color="auto"/>
                    <w:right w:val="none" w:sz="0" w:space="0" w:color="auto"/>
                  </w:divBdr>
                </w:div>
                <w:div w:id="108599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16969">
          <w:marLeft w:val="0"/>
          <w:marRight w:val="0"/>
          <w:marTop w:val="0"/>
          <w:marBottom w:val="120"/>
          <w:divBdr>
            <w:top w:val="none" w:sz="0" w:space="0" w:color="auto"/>
            <w:left w:val="none" w:sz="0" w:space="0" w:color="auto"/>
            <w:bottom w:val="none" w:sz="0" w:space="0" w:color="auto"/>
            <w:right w:val="none" w:sz="0" w:space="0" w:color="auto"/>
          </w:divBdr>
          <w:divsChild>
            <w:div w:id="2017540453">
              <w:marLeft w:val="0"/>
              <w:marRight w:val="0"/>
              <w:marTop w:val="0"/>
              <w:marBottom w:val="0"/>
              <w:divBdr>
                <w:top w:val="none" w:sz="0" w:space="0" w:color="auto"/>
                <w:left w:val="none" w:sz="0" w:space="0" w:color="auto"/>
                <w:bottom w:val="none" w:sz="0" w:space="0" w:color="auto"/>
                <w:right w:val="none" w:sz="0" w:space="0" w:color="auto"/>
              </w:divBdr>
              <w:divsChild>
                <w:div w:id="270406560">
                  <w:marLeft w:val="0"/>
                  <w:marRight w:val="0"/>
                  <w:marTop w:val="0"/>
                  <w:marBottom w:val="0"/>
                  <w:divBdr>
                    <w:top w:val="none" w:sz="0" w:space="0" w:color="auto"/>
                    <w:left w:val="none" w:sz="0" w:space="0" w:color="auto"/>
                    <w:bottom w:val="none" w:sz="0" w:space="0" w:color="auto"/>
                    <w:right w:val="none" w:sz="0" w:space="0" w:color="auto"/>
                  </w:divBdr>
                </w:div>
                <w:div w:id="1983852878">
                  <w:marLeft w:val="0"/>
                  <w:marRight w:val="0"/>
                  <w:marTop w:val="0"/>
                  <w:marBottom w:val="0"/>
                  <w:divBdr>
                    <w:top w:val="none" w:sz="0" w:space="0" w:color="auto"/>
                    <w:left w:val="none" w:sz="0" w:space="0" w:color="auto"/>
                    <w:bottom w:val="none" w:sz="0" w:space="0" w:color="auto"/>
                    <w:right w:val="none" w:sz="0" w:space="0" w:color="auto"/>
                  </w:divBdr>
                </w:div>
                <w:div w:id="546141847">
                  <w:marLeft w:val="0"/>
                  <w:marRight w:val="0"/>
                  <w:marTop w:val="0"/>
                  <w:marBottom w:val="0"/>
                  <w:divBdr>
                    <w:top w:val="none" w:sz="0" w:space="0" w:color="auto"/>
                    <w:left w:val="none" w:sz="0" w:space="0" w:color="auto"/>
                    <w:bottom w:val="none" w:sz="0" w:space="0" w:color="auto"/>
                    <w:right w:val="none" w:sz="0" w:space="0" w:color="auto"/>
                  </w:divBdr>
                </w:div>
                <w:div w:id="819882385">
                  <w:marLeft w:val="0"/>
                  <w:marRight w:val="0"/>
                  <w:marTop w:val="0"/>
                  <w:marBottom w:val="0"/>
                  <w:divBdr>
                    <w:top w:val="none" w:sz="0" w:space="0" w:color="auto"/>
                    <w:left w:val="none" w:sz="0" w:space="0" w:color="auto"/>
                    <w:bottom w:val="none" w:sz="0" w:space="0" w:color="auto"/>
                    <w:right w:val="none" w:sz="0" w:space="0" w:color="auto"/>
                  </w:divBdr>
                </w:div>
                <w:div w:id="103885976">
                  <w:marLeft w:val="0"/>
                  <w:marRight w:val="0"/>
                  <w:marTop w:val="0"/>
                  <w:marBottom w:val="0"/>
                  <w:divBdr>
                    <w:top w:val="none" w:sz="0" w:space="0" w:color="auto"/>
                    <w:left w:val="none" w:sz="0" w:space="0" w:color="auto"/>
                    <w:bottom w:val="none" w:sz="0" w:space="0" w:color="auto"/>
                    <w:right w:val="none" w:sz="0" w:space="0" w:color="auto"/>
                  </w:divBdr>
                </w:div>
                <w:div w:id="1364867228">
                  <w:marLeft w:val="0"/>
                  <w:marRight w:val="0"/>
                  <w:marTop w:val="0"/>
                  <w:marBottom w:val="0"/>
                  <w:divBdr>
                    <w:top w:val="none" w:sz="0" w:space="0" w:color="auto"/>
                    <w:left w:val="none" w:sz="0" w:space="0" w:color="auto"/>
                    <w:bottom w:val="none" w:sz="0" w:space="0" w:color="auto"/>
                    <w:right w:val="none" w:sz="0" w:space="0" w:color="auto"/>
                  </w:divBdr>
                </w:div>
                <w:div w:id="1578978709">
                  <w:marLeft w:val="0"/>
                  <w:marRight w:val="0"/>
                  <w:marTop w:val="0"/>
                  <w:marBottom w:val="0"/>
                  <w:divBdr>
                    <w:top w:val="none" w:sz="0" w:space="0" w:color="auto"/>
                    <w:left w:val="none" w:sz="0" w:space="0" w:color="auto"/>
                    <w:bottom w:val="none" w:sz="0" w:space="0" w:color="auto"/>
                    <w:right w:val="none" w:sz="0" w:space="0" w:color="auto"/>
                  </w:divBdr>
                </w:div>
                <w:div w:id="1748452116">
                  <w:marLeft w:val="0"/>
                  <w:marRight w:val="0"/>
                  <w:marTop w:val="0"/>
                  <w:marBottom w:val="0"/>
                  <w:divBdr>
                    <w:top w:val="none" w:sz="0" w:space="0" w:color="auto"/>
                    <w:left w:val="none" w:sz="0" w:space="0" w:color="auto"/>
                    <w:bottom w:val="none" w:sz="0" w:space="0" w:color="auto"/>
                    <w:right w:val="none" w:sz="0" w:space="0" w:color="auto"/>
                  </w:divBdr>
                </w:div>
                <w:div w:id="2011830419">
                  <w:marLeft w:val="0"/>
                  <w:marRight w:val="0"/>
                  <w:marTop w:val="0"/>
                  <w:marBottom w:val="0"/>
                  <w:divBdr>
                    <w:top w:val="none" w:sz="0" w:space="0" w:color="auto"/>
                    <w:left w:val="none" w:sz="0" w:space="0" w:color="auto"/>
                    <w:bottom w:val="none" w:sz="0" w:space="0" w:color="auto"/>
                    <w:right w:val="none" w:sz="0" w:space="0" w:color="auto"/>
                  </w:divBdr>
                </w:div>
                <w:div w:id="1230535873">
                  <w:marLeft w:val="0"/>
                  <w:marRight w:val="0"/>
                  <w:marTop w:val="0"/>
                  <w:marBottom w:val="0"/>
                  <w:divBdr>
                    <w:top w:val="none" w:sz="0" w:space="0" w:color="auto"/>
                    <w:left w:val="none" w:sz="0" w:space="0" w:color="auto"/>
                    <w:bottom w:val="none" w:sz="0" w:space="0" w:color="auto"/>
                    <w:right w:val="none" w:sz="0" w:space="0" w:color="auto"/>
                  </w:divBdr>
                </w:div>
                <w:div w:id="617369201">
                  <w:marLeft w:val="0"/>
                  <w:marRight w:val="0"/>
                  <w:marTop w:val="0"/>
                  <w:marBottom w:val="0"/>
                  <w:divBdr>
                    <w:top w:val="none" w:sz="0" w:space="0" w:color="auto"/>
                    <w:left w:val="none" w:sz="0" w:space="0" w:color="auto"/>
                    <w:bottom w:val="none" w:sz="0" w:space="0" w:color="auto"/>
                    <w:right w:val="none" w:sz="0" w:space="0" w:color="auto"/>
                  </w:divBdr>
                </w:div>
                <w:div w:id="1369527265">
                  <w:marLeft w:val="0"/>
                  <w:marRight w:val="0"/>
                  <w:marTop w:val="0"/>
                  <w:marBottom w:val="0"/>
                  <w:divBdr>
                    <w:top w:val="none" w:sz="0" w:space="0" w:color="auto"/>
                    <w:left w:val="none" w:sz="0" w:space="0" w:color="auto"/>
                    <w:bottom w:val="none" w:sz="0" w:space="0" w:color="auto"/>
                    <w:right w:val="none" w:sz="0" w:space="0" w:color="auto"/>
                  </w:divBdr>
                </w:div>
                <w:div w:id="121458087">
                  <w:marLeft w:val="0"/>
                  <w:marRight w:val="0"/>
                  <w:marTop w:val="0"/>
                  <w:marBottom w:val="0"/>
                  <w:divBdr>
                    <w:top w:val="none" w:sz="0" w:space="0" w:color="auto"/>
                    <w:left w:val="none" w:sz="0" w:space="0" w:color="auto"/>
                    <w:bottom w:val="none" w:sz="0" w:space="0" w:color="auto"/>
                    <w:right w:val="none" w:sz="0" w:space="0" w:color="auto"/>
                  </w:divBdr>
                </w:div>
                <w:div w:id="75787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15693954">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945065393">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40202860">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citacao.jpa@ifpb.edu.b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licitacao.jpa@ifpb.edu.br" TargetMode="External"/><Relationship Id="rId17" Type="http://schemas.openxmlformats.org/officeDocument/2006/relationships/hyperlink" Target="HTTPS://www.comprasgovernamentais.gov.br/" TargetMode="External"/><Relationship Id="rId2" Type="http://schemas.openxmlformats.org/officeDocument/2006/relationships/customXml" Target="../customXml/item2.xml"/><Relationship Id="rId16" Type="http://schemas.openxmlformats.org/officeDocument/2006/relationships/hyperlink" Target="http://www.cnj.jus.br/improbidade_adm/consultar_requerido.ph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mprasnet.gov.br" TargetMode="External"/><Relationship Id="rId5" Type="http://schemas.openxmlformats.org/officeDocument/2006/relationships/numbering" Target="numbering.xml"/><Relationship Id="rId15" Type="http://schemas.openxmlformats.org/officeDocument/2006/relationships/hyperlink" Target="http://www.portaldatransparencia.gov.br/cei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2" ma:contentTypeDescription="Create a new document." ma:contentTypeScope="" ma:versionID="6dd8678f10aef9e3dea29d8576d02e9d">
  <xsd:schema xmlns:xsd="http://www.w3.org/2001/XMLSchema" xmlns:xs="http://www.w3.org/2001/XMLSchema" xmlns:p="http://schemas.microsoft.com/office/2006/metadata/properties" xmlns:ns2="52c93ea8-e2de-466c-b401-d7fabeb9490e" targetNamespace="http://schemas.microsoft.com/office/2006/metadata/properties" ma:root="true" ma:fieldsID="0bf9b409b15e3dee1411fcad88d9b504"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9A8C8-58D5-43A0-85EB-3767B996F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11408A-6D5C-4CA6-95AE-BDB1C00B1E4C}">
  <ds:schemaRefs>
    <ds:schemaRef ds:uri="http://schemas.microsoft.com/sharepoint/v3/contenttype/forms"/>
  </ds:schemaRefs>
</ds:datastoreItem>
</file>

<file path=customXml/itemProps3.xml><?xml version="1.0" encoding="utf-8"?>
<ds:datastoreItem xmlns:ds="http://schemas.openxmlformats.org/officeDocument/2006/customXml" ds:itemID="{F75959FA-F200-4562-92EA-5DBB5C9E194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D54591F-E878-49C0-9429-33C494200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3</TotalTime>
  <Pages>31</Pages>
  <Words>11535</Words>
  <Characters>62294</Characters>
  <Application>Microsoft Office Word</Application>
  <DocSecurity>0</DocSecurity>
  <Lines>519</Lines>
  <Paragraphs>147</Paragraphs>
  <ScaleCrop>false</ScaleCrop>
  <HeadingPairs>
    <vt:vector size="2" baseType="variant">
      <vt:variant>
        <vt:lpstr>Título</vt:lpstr>
      </vt:variant>
      <vt:variant>
        <vt:i4>1</vt:i4>
      </vt:variant>
    </vt:vector>
  </HeadingPairs>
  <TitlesOfParts>
    <vt:vector size="1" baseType="lpstr">
      <vt:lpstr>Edital para Pregão Eletrônico, Serviços Contínuos com dedicação exclusiva de mão de obra. Habilitação Completa e Ampla Participação</vt:lpstr>
    </vt:vector>
  </TitlesOfParts>
  <Company>AGU/CGU</Company>
  <LinksUpToDate>false</LinksUpToDate>
  <CharactersWithSpaces>73682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Karol&amp;Alexandre</cp:lastModifiedBy>
  <cp:revision>3</cp:revision>
  <cp:lastPrinted>2020-10-06T14:06:00Z</cp:lastPrinted>
  <dcterms:created xsi:type="dcterms:W3CDTF">2021-03-26T13:28:00Z</dcterms:created>
  <dcterms:modified xsi:type="dcterms:W3CDTF">2021-03-26T13:31:00Z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