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DECLARAÇÃO DE DISPONIBILIDADE DE CARGA HORÁRIA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8 horas (mínimo) ou 10 horas (máximo) semanais para o desempenho das atividades de monitoria nas 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04/2023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DECLARO também a ciência de que minhas atividades, no âmbito desse programa, serão realizadas de forma presencial ou híbrida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E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3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tabs>
        <w:tab w:val="left" w:leader="none" w:pos="708"/>
      </w:tabs>
      <w:spacing w:after="200" w:line="27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color w:val="00000a"/>
        <w:sz w:val="24"/>
        <w:szCs w:val="24"/>
        <w:rtl w:val="0"/>
      </w:rPr>
      <w:t xml:space="preserve">04</w:t>
    </w:r>
    <w:r w:rsidDel="00000000" w:rsidR="00000000" w:rsidRPr="00000000">
      <w:rPr>
        <w:b w:val="1"/>
        <w:sz w:val="24"/>
        <w:szCs w:val="24"/>
        <w:rtl w:val="0"/>
      </w:rPr>
      <w:t xml:space="preserve">/2023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rWs8wpRRcE7J+2bzyNdThPh/Fg==">AMUW2mUpaiWO/cllqtKTrqPL0dPN0kE12kVi9DYXwHAr2RCz6SlgGG5B70nTDp0TmEu4PVTIsZ6sJ22CTfG5W+pz2vuCJ2xZaS2FSS3AgpFsHqceHa7n+h4=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