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dodocumento"/>
        <w:spacing w:lineRule="auto" w:line="240"/>
        <w:rPr>
          <w:b/>
          <w:b/>
          <w:sz w:val="24"/>
        </w:rPr>
      </w:pPr>
      <w:r>
        <w:rPr>
          <w:b/>
          <w:sz w:val="24"/>
        </w:rPr>
      </w:r>
    </w:p>
    <w:p>
      <w:pPr>
        <w:pStyle w:val="Standard"/>
        <w:shd w:val="clear" w:fill="E6E6E6"/>
        <w:spacing w:lineRule="auto" w:line="240"/>
        <w:jc w:val="center"/>
        <w:rPr>
          <w:rFonts w:ascii="Carlito;Calibri" w:hAnsi="Carlito;Calibri" w:cs="Carlito;Calibri"/>
          <w:sz w:val="24"/>
          <w:szCs w:val="24"/>
        </w:rPr>
      </w:pPr>
      <w:r>
        <w:rPr>
          <w:rFonts w:cs="Carlito;Calibri" w:ascii="Carlito;Calibri" w:hAnsi="Carlito;Calibri"/>
          <w:b/>
          <w:sz w:val="24"/>
          <w:szCs w:val="24"/>
        </w:rPr>
        <w:t>PROJETO BÁSICO</w:t>
      </w:r>
    </w:p>
    <w:p>
      <w:pPr>
        <w:pStyle w:val="Ttulododocumento"/>
        <w:spacing w:lineRule="auto" w:line="240"/>
        <w:rPr>
          <w:b/>
          <w:b/>
          <w:sz w:val="24"/>
        </w:rPr>
      </w:pPr>
      <w:r>
        <w:rPr>
          <w:b/>
          <w:sz w:val="24"/>
        </w:rPr>
      </w:r>
    </w:p>
    <w:p>
      <w:pPr>
        <w:pStyle w:val="Ttulododocumento"/>
        <w:spacing w:lineRule="auto" w:line="240"/>
        <w:rPr>
          <w:rFonts w:ascii="Carlito" w:hAnsi="Carlito"/>
          <w:sz w:val="24"/>
          <w:szCs w:val="24"/>
        </w:rPr>
      </w:pPr>
      <w:r>
        <w:rPr>
          <w:rFonts w:ascii="Carlito" w:hAnsi="Carlito"/>
          <w:sz w:val="24"/>
          <w:szCs w:val="24"/>
        </w:rPr>
        <w:t xml:space="preserve"> </w:t>
      </w:r>
      <w:r>
        <w:rPr>
          <w:rFonts w:ascii="Carlito" w:hAnsi="Carlito"/>
          <w:sz w:val="24"/>
          <w:szCs w:val="24"/>
        </w:rPr>
        <w:t xml:space="preserve">(Processo Administrativo n° </w:t>
      </w:r>
      <w:bookmarkStart w:id="0" w:name="__DdeLink__681_3923539445"/>
      <w:r>
        <w:rPr>
          <w:rFonts w:ascii="Carlito" w:hAnsi="Carlito"/>
          <w:color w:val="auto"/>
          <w:sz w:val="24"/>
          <w:szCs w:val="24"/>
        </w:rPr>
        <w:t>23381.</w:t>
      </w:r>
      <w:bookmarkEnd w:id="0"/>
      <w:r>
        <w:rPr>
          <w:rFonts w:ascii="Carlito" w:hAnsi="Carlito"/>
          <w:color w:val="auto"/>
          <w:sz w:val="24"/>
          <w:szCs w:val="24"/>
        </w:rPr>
        <w:t>002166.2019-47)</w:t>
      </w:r>
    </w:p>
    <w:p>
      <w:pPr>
        <w:pStyle w:val="Ttulo1"/>
        <w:numPr>
          <w:ilvl w:val="0"/>
          <w:numId w:val="2"/>
        </w:numPr>
        <w:spacing w:lineRule="auto" w:line="240"/>
        <w:rPr/>
      </w:pPr>
      <w:r>
        <w:rPr/>
        <w:t>DO</w:t>
      </w:r>
      <w:r>
        <w:rPr>
          <w:rFonts w:ascii="Carlito" w:hAnsi="Carlito"/>
          <w:sz w:val="24"/>
          <w:szCs w:val="24"/>
        </w:rPr>
        <w:t xml:space="preserve"> OBJETO</w:t>
      </w:r>
    </w:p>
    <w:p>
      <w:pPr>
        <w:pStyle w:val="ListParagraph"/>
        <w:numPr>
          <w:ilvl w:val="1"/>
          <w:numId w:val="5"/>
        </w:numPr>
        <w:spacing w:lineRule="auto" w:line="240" w:before="120" w:after="120"/>
        <w:rPr>
          <w:rFonts w:ascii="Carlito" w:hAnsi="Carlito"/>
          <w:sz w:val="24"/>
          <w:szCs w:val="24"/>
        </w:rPr>
      </w:pPr>
      <w:r>
        <w:rPr>
          <w:rFonts w:cs="Arial" w:ascii="Carlito" w:hAnsi="Carlito"/>
          <w:color w:val="000000"/>
          <w:sz w:val="24"/>
          <w:szCs w:val="24"/>
        </w:rPr>
        <w:t>A presente contratação tem por objeto a aquisição de</w:t>
      </w:r>
      <w:r>
        <w:rPr>
          <w:rFonts w:eastAsia="Times New Roman" w:cs="Arial" w:ascii="Carlito" w:hAnsi="Carlito"/>
          <w:color w:val="000000"/>
          <w:sz w:val="24"/>
          <w:szCs w:val="24"/>
          <w:lang w:val="pt-BR" w:eastAsia="zh-CN" w:bidi="ar-SA"/>
        </w:rPr>
        <w:t xml:space="preserve"> material de sinalização de emergência em geral, além de demais materiais que compõem o sistema de combate a incêndio, para fins de atendimento às disposições contidas no Laudo Técnico de Vistoria - LTV n° S-001/2019/CBMPB</w:t>
      </w:r>
      <w:r>
        <w:rPr>
          <w:rFonts w:cs="Arial" w:ascii="Carlito" w:hAnsi="Carlito"/>
          <w:color w:val="000000"/>
          <w:sz w:val="24"/>
          <w:szCs w:val="24"/>
        </w:rPr>
        <w:t>, cujas especificações, e quantitativos, mínimos dos materiais e demais condições gerais para fornecimento estão descritas no presente Projeto Básico:</w:t>
      </w:r>
    </w:p>
    <w:tbl>
      <w:tblPr>
        <w:tblStyle w:val="Tabelacomgrade"/>
        <w:tblW w:w="10203" w:type="dxa"/>
        <w:jc w:val="left"/>
        <w:tblInd w:w="-541" w:type="dxa"/>
        <w:tblCellMar>
          <w:top w:w="0" w:type="dxa"/>
          <w:left w:w="108" w:type="dxa"/>
          <w:bottom w:w="0" w:type="dxa"/>
          <w:right w:w="108" w:type="dxa"/>
        </w:tblCellMar>
        <w:tblLook w:firstRow="1" w:noVBand="1" w:lastRow="0" w:firstColumn="1" w:lastColumn="0" w:noHBand="0" w:val="04a0"/>
      </w:tblPr>
      <w:tblGrid>
        <w:gridCol w:w="734"/>
        <w:gridCol w:w="2492"/>
        <w:gridCol w:w="1359"/>
        <w:gridCol w:w="1203"/>
        <w:gridCol w:w="1627"/>
        <w:gridCol w:w="1316"/>
        <w:gridCol w:w="1471"/>
      </w:tblGrid>
      <w:tr>
        <w:trPr>
          <w:trHeight w:val="794" w:hRule="atLeast"/>
        </w:trPr>
        <w:tc>
          <w:tcPr>
            <w:tcW w:w="734" w:type="dxa"/>
            <w:tcBorders/>
            <w:shd w:color="auto" w:fill="BFBFBF" w:themeFill="background1" w:themeFillShade="bf" w:val="clear"/>
            <w:vAlign w:val="center"/>
          </w:tcPr>
          <w:p>
            <w:pPr>
              <w:pStyle w:val="Normal"/>
              <w:spacing w:lineRule="auto" w:line="240" w:before="0" w:after="0"/>
              <w:jc w:val="center"/>
              <w:rPr>
                <w:b/>
                <w:b/>
              </w:rPr>
            </w:pPr>
            <w:r>
              <w:rPr>
                <w:rFonts w:ascii="Carlito" w:hAnsi="Carlito"/>
                <w:b/>
                <w:sz w:val="24"/>
                <w:szCs w:val="24"/>
              </w:rPr>
              <w:t>ITEM</w:t>
            </w:r>
          </w:p>
        </w:tc>
        <w:tc>
          <w:tcPr>
            <w:tcW w:w="2492" w:type="dxa"/>
            <w:tcBorders/>
            <w:shd w:color="auto" w:fill="BFBFBF" w:themeFill="background1" w:themeFillShade="bf" w:val="clear"/>
            <w:vAlign w:val="center"/>
          </w:tcPr>
          <w:p>
            <w:pPr>
              <w:pStyle w:val="Normal"/>
              <w:spacing w:lineRule="auto" w:line="240" w:before="0" w:after="0"/>
              <w:jc w:val="center"/>
              <w:rPr>
                <w:b/>
                <w:b/>
              </w:rPr>
            </w:pPr>
            <w:r>
              <w:rPr>
                <w:rFonts w:ascii="Carlito" w:hAnsi="Carlito"/>
                <w:b/>
                <w:sz w:val="24"/>
                <w:szCs w:val="24"/>
              </w:rPr>
              <w:t>DESCRIÇÃO</w:t>
            </w:r>
          </w:p>
        </w:tc>
        <w:tc>
          <w:tcPr>
            <w:tcW w:w="1359" w:type="dxa"/>
            <w:tcBorders>
              <w:left w:val="nil"/>
              <w:right w:val="nil"/>
              <w:insideV w:val="nil"/>
            </w:tcBorders>
            <w:shd w:color="auto" w:fill="BFBFBF" w:themeFill="background1" w:themeFillShade="bf" w:val="clear"/>
            <w:vAlign w:val="center"/>
          </w:tcPr>
          <w:p>
            <w:pPr>
              <w:pStyle w:val="Normal"/>
              <w:spacing w:lineRule="auto" w:line="240" w:before="0" w:after="0"/>
              <w:jc w:val="center"/>
              <w:rPr>
                <w:rFonts w:ascii="Carlito" w:hAnsi="Carlito"/>
                <w:b/>
                <w:b/>
                <w:bCs/>
                <w:sz w:val="24"/>
                <w:szCs w:val="24"/>
              </w:rPr>
            </w:pPr>
            <w:r>
              <w:rPr>
                <w:rFonts w:ascii="Carlito" w:hAnsi="Carlito"/>
                <w:b/>
                <w:bCs/>
                <w:sz w:val="24"/>
                <w:szCs w:val="24"/>
              </w:rPr>
              <w:t>SÍMBOLO</w:t>
            </w:r>
          </w:p>
        </w:tc>
        <w:tc>
          <w:tcPr>
            <w:tcW w:w="1203" w:type="dxa"/>
            <w:tcBorders/>
            <w:shd w:color="auto" w:fill="BFBFBF" w:themeFill="background1" w:themeFillShade="bf" w:val="clear"/>
            <w:vAlign w:val="center"/>
          </w:tcPr>
          <w:p>
            <w:pPr>
              <w:pStyle w:val="Normal"/>
              <w:spacing w:lineRule="auto" w:line="240" w:before="0" w:after="0"/>
              <w:jc w:val="center"/>
              <w:rPr>
                <w:b/>
                <w:b/>
              </w:rPr>
            </w:pPr>
            <w:r>
              <w:rPr>
                <w:rFonts w:ascii="Carlito" w:hAnsi="Carlito"/>
                <w:b/>
                <w:sz w:val="24"/>
                <w:szCs w:val="24"/>
              </w:rPr>
              <w:t>UNIDADE</w:t>
            </w:r>
          </w:p>
        </w:tc>
        <w:tc>
          <w:tcPr>
            <w:tcW w:w="1627" w:type="dxa"/>
            <w:tcBorders/>
            <w:shd w:color="auto" w:fill="BFBFBF" w:themeFill="background1" w:themeFillShade="bf" w:val="clear"/>
            <w:vAlign w:val="center"/>
          </w:tcPr>
          <w:p>
            <w:pPr>
              <w:pStyle w:val="Normal"/>
              <w:spacing w:lineRule="auto" w:line="240" w:before="0" w:after="0"/>
              <w:jc w:val="center"/>
              <w:rPr>
                <w:b/>
                <w:b/>
              </w:rPr>
            </w:pPr>
            <w:r>
              <w:rPr>
                <w:rFonts w:ascii="Carlito" w:hAnsi="Carlito"/>
                <w:b/>
                <w:sz w:val="24"/>
                <w:szCs w:val="24"/>
              </w:rPr>
              <w:t>QUANTIDADE</w:t>
            </w:r>
          </w:p>
        </w:tc>
        <w:tc>
          <w:tcPr>
            <w:tcW w:w="1316" w:type="dxa"/>
            <w:tcBorders/>
            <w:shd w:color="auto" w:fill="BFBFBF" w:themeFill="background1" w:themeFillShade="bf" w:val="clear"/>
            <w:vAlign w:val="center"/>
          </w:tcPr>
          <w:p>
            <w:pPr>
              <w:pStyle w:val="Normal"/>
              <w:spacing w:lineRule="auto" w:line="240" w:before="0" w:after="0"/>
              <w:jc w:val="center"/>
              <w:rPr>
                <w:rFonts w:ascii="Carlito" w:hAnsi="Carlito"/>
                <w:sz w:val="24"/>
                <w:szCs w:val="24"/>
              </w:rPr>
            </w:pPr>
            <w:r>
              <w:rPr>
                <w:rFonts w:ascii="Carlito" w:hAnsi="Carlito"/>
                <w:b/>
                <w:sz w:val="24"/>
                <w:szCs w:val="24"/>
              </w:rPr>
              <w:t>VALOR UNITÁRIO ESTIMADO</w:t>
            </w:r>
          </w:p>
          <w:p>
            <w:pPr>
              <w:pStyle w:val="Normal"/>
              <w:spacing w:lineRule="auto" w:line="240" w:before="0" w:after="0"/>
              <w:jc w:val="center"/>
              <w:rPr>
                <w:rFonts w:ascii="Carlito" w:hAnsi="Carlito"/>
                <w:sz w:val="24"/>
                <w:szCs w:val="24"/>
              </w:rPr>
            </w:pPr>
            <w:r>
              <w:rPr>
                <w:rFonts w:ascii="Carlito" w:hAnsi="Carlito"/>
                <w:b/>
                <w:sz w:val="24"/>
                <w:szCs w:val="24"/>
              </w:rPr>
              <w:t>(R$)</w:t>
            </w:r>
          </w:p>
        </w:tc>
        <w:tc>
          <w:tcPr>
            <w:tcW w:w="1471" w:type="dxa"/>
            <w:tcBorders/>
            <w:shd w:color="auto" w:fill="BFBFBF" w:themeFill="background1" w:themeFillShade="bf" w:val="clear"/>
            <w:vAlign w:val="center"/>
          </w:tcPr>
          <w:p>
            <w:pPr>
              <w:pStyle w:val="Normal"/>
              <w:spacing w:lineRule="auto" w:line="240" w:before="0" w:after="0"/>
              <w:jc w:val="center"/>
              <w:rPr>
                <w:rFonts w:ascii="Carlito" w:hAnsi="Carlito"/>
                <w:sz w:val="24"/>
                <w:szCs w:val="24"/>
              </w:rPr>
            </w:pPr>
            <w:r>
              <w:rPr>
                <w:rFonts w:ascii="Carlito" w:hAnsi="Carlito"/>
                <w:b/>
                <w:sz w:val="24"/>
                <w:szCs w:val="24"/>
              </w:rPr>
              <w:t>VALOR TOTAL ESTIMADO</w:t>
            </w:r>
          </w:p>
          <w:p>
            <w:pPr>
              <w:pStyle w:val="Normal"/>
              <w:spacing w:lineRule="auto" w:line="240" w:before="0" w:after="0"/>
              <w:jc w:val="center"/>
              <w:rPr>
                <w:rFonts w:ascii="Carlito" w:hAnsi="Carlito"/>
                <w:sz w:val="24"/>
                <w:szCs w:val="24"/>
              </w:rPr>
            </w:pPr>
            <w:r>
              <w:rPr>
                <w:rFonts w:ascii="Carlito" w:hAnsi="Carlito"/>
                <w:b/>
                <w:sz w:val="24"/>
                <w:szCs w:val="24"/>
              </w:rPr>
              <w:t>(R$)</w:t>
            </w:r>
          </w:p>
        </w:tc>
      </w:tr>
      <w:tr>
        <w:trPr>
          <w:trHeight w:val="743" w:hRule="atLeast"/>
        </w:trPr>
        <w:tc>
          <w:tcPr>
            <w:tcW w:w="734"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01</w:t>
            </w:r>
          </w:p>
        </w:tc>
        <w:tc>
          <w:tcPr>
            <w:tcW w:w="2492" w:type="dxa"/>
            <w:tcBorders/>
            <w:shd w:fill="auto" w:val="clear"/>
            <w:vAlign w:val="center"/>
          </w:tcPr>
          <w:p>
            <w:pPr>
              <w:pStyle w:val="Normal"/>
              <w:spacing w:lineRule="auto" w:line="240" w:before="0" w:after="0"/>
              <w:jc w:val="both"/>
              <w:rPr>
                <w:rFonts w:ascii="Carlito" w:hAnsi="Carlito" w:eastAsia="Times New Roman" w:cs="Arial"/>
                <w:color w:val="000000"/>
                <w:sz w:val="20"/>
                <w:szCs w:val="20"/>
                <w:lang w:eastAsia="zh-CN"/>
              </w:rPr>
            </w:pPr>
            <w:r>
              <w:rPr>
                <w:rFonts w:eastAsia="Times New Roman" w:cs="Arial" w:ascii="Carlito" w:hAnsi="Carlito"/>
                <w:b w:val="false"/>
                <w:i w:val="false"/>
                <w:strike w:val="false"/>
                <w:dstrike w:val="false"/>
                <w:outline w:val="false"/>
                <w:shadow w:val="false"/>
                <w:color w:val="000000"/>
                <w:sz w:val="20"/>
                <w:szCs w:val="20"/>
                <w:u w:val="none"/>
                <w:em w:val="none"/>
                <w:lang w:eastAsia="zh-CN"/>
              </w:rPr>
              <w:t xml:space="preserve">Placa de sinalização de emergência, retangular, de fundo verde, pictograma fotoluminescente do tipo “Saída de Emergência” - </w:t>
            </w: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Indicação de sentido a Esquerda -</w:t>
            </w:r>
            <w:r>
              <w:rPr>
                <w:rFonts w:eastAsia="Times New Roman" w:cs="Arial" w:ascii="Carlito" w:hAnsi="Carlito"/>
                <w:b w:val="false"/>
                <w:i w:val="false"/>
                <w:strike w:val="false"/>
                <w:dstrike w:val="false"/>
                <w:outline w:val="false"/>
                <w:shadow w:val="false"/>
                <w:color w:val="000000"/>
                <w:sz w:val="20"/>
                <w:szCs w:val="20"/>
                <w:u w:val="none"/>
                <w:em w:val="none"/>
                <w:lang w:eastAsia="zh-CN"/>
              </w:rPr>
              <w:t xml:space="preserve"> Código S7 - CPMPB (Corpo de Bombeiros Militar da Paraíba).</w:t>
            </w:r>
          </w:p>
        </w:tc>
        <w:tc>
          <w:tcPr>
            <w:tcW w:w="1359" w:type="dxa"/>
            <w:tcBorders>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3">
                  <wp:simplePos x="0" y="0"/>
                  <wp:positionH relativeFrom="column">
                    <wp:posOffset>0</wp:posOffset>
                  </wp:positionH>
                  <wp:positionV relativeFrom="paragraph">
                    <wp:posOffset>503555</wp:posOffset>
                  </wp:positionV>
                  <wp:extent cx="770255" cy="403860"/>
                  <wp:effectExtent l="0" t="0" r="0" b="0"/>
                  <wp:wrapSquare wrapText="largest"/>
                  <wp:docPr id="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
                          <pic:cNvPicPr>
                            <a:picLocks noChangeAspect="1" noChangeArrowheads="1"/>
                          </pic:cNvPicPr>
                        </pic:nvPicPr>
                        <pic:blipFill>
                          <a:blip r:embed="rId2"/>
                          <a:stretch>
                            <a:fillRect/>
                          </a:stretch>
                        </pic:blipFill>
                        <pic:spPr bwMode="auto">
                          <a:xfrm>
                            <a:off x="0" y="0"/>
                            <a:ext cx="770255" cy="403860"/>
                          </a:xfrm>
                          <a:prstGeom prst="rect">
                            <a:avLst/>
                          </a:prstGeom>
                        </pic:spPr>
                      </pic:pic>
                    </a:graphicData>
                  </a:graphic>
                </wp:anchor>
              </w:drawing>
            </w:r>
          </w:p>
        </w:tc>
        <w:tc>
          <w:tcPr>
            <w:tcW w:w="1203"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12,78</w:t>
            </w:r>
          </w:p>
        </w:tc>
        <w:tc>
          <w:tcPr>
            <w:tcW w:w="1471"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12,78</w:t>
            </w:r>
          </w:p>
        </w:tc>
      </w:tr>
      <w:tr>
        <w:trPr>
          <w:trHeight w:val="509" w:hRule="atLeast"/>
        </w:trPr>
        <w:tc>
          <w:tcPr>
            <w:tcW w:w="734"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position w:val="0"/>
                <w:sz w:val="24"/>
                <w:sz w:val="24"/>
                <w:szCs w:val="24"/>
                <w:vertAlign w:val="baseline"/>
              </w:rPr>
              <w:t>02</w:t>
            </w:r>
          </w:p>
        </w:tc>
        <w:tc>
          <w:tcPr>
            <w:tcW w:w="2492" w:type="dxa"/>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“Saída de Emergência” - Indicação de sentido a Direita - Código S6 - CPMPB (Corpo de Bombeiros Militar da Paraíba).</w:t>
            </w:r>
          </w:p>
        </w:tc>
        <w:tc>
          <w:tcPr>
            <w:tcW w:w="1359" w:type="dxa"/>
            <w:tcBorders>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2">
                  <wp:simplePos x="0" y="0"/>
                  <wp:positionH relativeFrom="column">
                    <wp:posOffset>0</wp:posOffset>
                  </wp:positionH>
                  <wp:positionV relativeFrom="paragraph">
                    <wp:posOffset>448310</wp:posOffset>
                  </wp:positionV>
                  <wp:extent cx="770255" cy="403860"/>
                  <wp:effectExtent l="0" t="0" r="0" b="0"/>
                  <wp:wrapSquare wrapText="largest"/>
                  <wp:docPr id="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descr=""/>
                          <pic:cNvPicPr>
                            <a:picLocks noChangeAspect="1" noChangeArrowheads="1"/>
                          </pic:cNvPicPr>
                        </pic:nvPicPr>
                        <pic:blipFill>
                          <a:blip r:embed="rId3"/>
                          <a:stretch>
                            <a:fillRect/>
                          </a:stretch>
                        </pic:blipFill>
                        <pic:spPr bwMode="auto">
                          <a:xfrm>
                            <a:off x="0" y="0"/>
                            <a:ext cx="770255" cy="403860"/>
                          </a:xfrm>
                          <a:prstGeom prst="rect">
                            <a:avLst/>
                          </a:prstGeom>
                        </pic:spPr>
                      </pic:pic>
                    </a:graphicData>
                  </a:graphic>
                </wp:anchor>
              </w:drawing>
            </w:r>
          </w:p>
        </w:tc>
        <w:tc>
          <w:tcPr>
            <w:tcW w:w="1203"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11,13</w:t>
            </w:r>
          </w:p>
        </w:tc>
        <w:tc>
          <w:tcPr>
            <w:tcW w:w="1471" w:type="dxa"/>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11,13</w:t>
            </w:r>
          </w:p>
        </w:tc>
      </w:tr>
      <w:tr>
        <w:trPr>
          <w:trHeight w:val="874"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03</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“Escada de Emergência” - Indicação de sentido a Direita - Código S8 -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4">
                  <wp:simplePos x="0" y="0"/>
                  <wp:positionH relativeFrom="column">
                    <wp:posOffset>0</wp:posOffset>
                  </wp:positionH>
                  <wp:positionV relativeFrom="paragraph">
                    <wp:posOffset>474980</wp:posOffset>
                  </wp:positionV>
                  <wp:extent cx="770255" cy="403860"/>
                  <wp:effectExtent l="0" t="0" r="0" b="0"/>
                  <wp:wrapSquare wrapText="largest"/>
                  <wp:docPr id="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descr=""/>
                          <pic:cNvPicPr>
                            <a:picLocks noChangeAspect="1" noChangeArrowheads="1"/>
                          </pic:cNvPicPr>
                        </pic:nvPicPr>
                        <pic:blipFill>
                          <a:blip r:embed="rId4"/>
                          <a:stretch>
                            <a:fillRect/>
                          </a:stretch>
                        </pic:blipFill>
                        <pic:spPr bwMode="auto">
                          <a:xfrm>
                            <a:off x="0" y="0"/>
                            <a:ext cx="770255" cy="403860"/>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15,20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15,20</w:t>
            </w:r>
          </w:p>
        </w:tc>
      </w:tr>
      <w:tr>
        <w:trPr>
          <w:trHeight w:val="799" w:hRule="atLeast"/>
        </w:trPr>
        <w:tc>
          <w:tcPr>
            <w:tcW w:w="734" w:type="dxa"/>
            <w:tcBorders>
              <w:top w:val="nil"/>
            </w:tcBorders>
            <w:shd w:fill="auto" w:val="clear"/>
            <w:vAlign w:val="center"/>
          </w:tcPr>
          <w:p>
            <w:pPr>
              <w:pStyle w:val="Normal"/>
              <w:spacing w:lineRule="auto" w:line="240" w:before="0" w:after="0"/>
              <w:jc w:val="center"/>
              <w:rPr>
                <w:rFonts w:ascii="Arial" w:hAnsi="Arial" w:eastAsia="Times New Roman" w:cs="Arial"/>
                <w:color w:val="000000"/>
                <w:sz w:val="20"/>
                <w:szCs w:val="20"/>
                <w:lang w:eastAsia="zh-CN"/>
              </w:rPr>
            </w:pPr>
            <w:r>
              <w:rPr>
                <w:rFonts w:eastAsia="Times New Roman" w:cs="Arial" w:ascii="Carlito" w:hAnsi="Carlito"/>
                <w:color w:val="000000"/>
                <w:sz w:val="24"/>
                <w:szCs w:val="24"/>
                <w:lang w:eastAsia="zh-CN"/>
              </w:rPr>
              <w:t>04</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“Escada de Emergência” - Indicação de sentido a Esquerda - Código S9 -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5">
                  <wp:simplePos x="0" y="0"/>
                  <wp:positionH relativeFrom="column">
                    <wp:posOffset>0</wp:posOffset>
                  </wp:positionH>
                  <wp:positionV relativeFrom="paragraph">
                    <wp:posOffset>413385</wp:posOffset>
                  </wp:positionV>
                  <wp:extent cx="770255" cy="403860"/>
                  <wp:effectExtent l="0" t="0" r="0" b="0"/>
                  <wp:wrapSquare wrapText="largest"/>
                  <wp:docPr id="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5" descr=""/>
                          <pic:cNvPicPr>
                            <a:picLocks noChangeAspect="1" noChangeArrowheads="1"/>
                          </pic:cNvPicPr>
                        </pic:nvPicPr>
                        <pic:blipFill>
                          <a:blip r:embed="rId5"/>
                          <a:stretch>
                            <a:fillRect/>
                          </a:stretch>
                        </pic:blipFill>
                        <pic:spPr bwMode="auto">
                          <a:xfrm>
                            <a:off x="0" y="0"/>
                            <a:ext cx="770255" cy="403860"/>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15,20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15,20</w:t>
            </w:r>
          </w:p>
        </w:tc>
      </w:tr>
      <w:tr>
        <w:trPr>
          <w:trHeight w:val="509"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05</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“Saída de Emergência” - Indicação de sentido do acesso a uma saída - Código S3 -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6">
                  <wp:simplePos x="0" y="0"/>
                  <wp:positionH relativeFrom="column">
                    <wp:posOffset>0</wp:posOffset>
                  </wp:positionH>
                  <wp:positionV relativeFrom="paragraph">
                    <wp:posOffset>493395</wp:posOffset>
                  </wp:positionV>
                  <wp:extent cx="770255" cy="403860"/>
                  <wp:effectExtent l="0" t="0" r="0" b="0"/>
                  <wp:wrapSquare wrapText="largest"/>
                  <wp:docPr id="5"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6" descr=""/>
                          <pic:cNvPicPr>
                            <a:picLocks noChangeAspect="1" noChangeArrowheads="1"/>
                          </pic:cNvPicPr>
                        </pic:nvPicPr>
                        <pic:blipFill>
                          <a:blip r:embed="rId6"/>
                          <a:stretch>
                            <a:fillRect/>
                          </a:stretch>
                        </pic:blipFill>
                        <pic:spPr bwMode="auto">
                          <a:xfrm>
                            <a:off x="0" y="0"/>
                            <a:ext cx="770255" cy="403860"/>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21</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13,36</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280,56</w:t>
            </w:r>
          </w:p>
        </w:tc>
      </w:tr>
      <w:tr>
        <w:trPr>
          <w:trHeight w:val="510"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06</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“Saída de Emergência” - Indicação de sentido a Esquerda - Código S2 -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7">
                  <wp:simplePos x="0" y="0"/>
                  <wp:positionH relativeFrom="column">
                    <wp:posOffset>0</wp:posOffset>
                  </wp:positionH>
                  <wp:positionV relativeFrom="paragraph">
                    <wp:posOffset>484505</wp:posOffset>
                  </wp:positionV>
                  <wp:extent cx="770255" cy="403860"/>
                  <wp:effectExtent l="0" t="0" r="0" b="0"/>
                  <wp:wrapSquare wrapText="largest"/>
                  <wp:docPr id="6"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7" descr=""/>
                          <pic:cNvPicPr>
                            <a:picLocks noChangeAspect="1" noChangeArrowheads="1"/>
                          </pic:cNvPicPr>
                        </pic:nvPicPr>
                        <pic:blipFill>
                          <a:blip r:embed="rId7"/>
                          <a:stretch>
                            <a:fillRect/>
                          </a:stretch>
                        </pic:blipFill>
                        <pic:spPr bwMode="auto">
                          <a:xfrm>
                            <a:off x="0" y="0"/>
                            <a:ext cx="770255" cy="403860"/>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10</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12,60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126,00</w:t>
            </w:r>
          </w:p>
        </w:tc>
      </w:tr>
      <w:tr>
        <w:trPr>
          <w:trHeight w:val="679"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07</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retangular, de fundo verde, pictograma fotoluminescente do tipo “Saída de Emergência” - Mensagem “Saída” - Código S12 -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8">
                  <wp:simplePos x="0" y="0"/>
                  <wp:positionH relativeFrom="column">
                    <wp:posOffset>-8890</wp:posOffset>
                  </wp:positionH>
                  <wp:positionV relativeFrom="paragraph">
                    <wp:posOffset>538480</wp:posOffset>
                  </wp:positionV>
                  <wp:extent cx="770255" cy="403860"/>
                  <wp:effectExtent l="0" t="0" r="0" b="0"/>
                  <wp:wrapSquare wrapText="largest"/>
                  <wp:docPr id="7"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descr=""/>
                          <pic:cNvPicPr>
                            <a:picLocks noChangeAspect="1" noChangeArrowheads="1"/>
                          </pic:cNvPicPr>
                        </pic:nvPicPr>
                        <pic:blipFill>
                          <a:blip r:embed="rId8"/>
                          <a:stretch>
                            <a:fillRect/>
                          </a:stretch>
                        </pic:blipFill>
                        <pic:spPr bwMode="auto">
                          <a:xfrm>
                            <a:off x="0" y="0"/>
                            <a:ext cx="770255" cy="403860"/>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7</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12,60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88,20</w:t>
            </w:r>
          </w:p>
        </w:tc>
      </w:tr>
      <w:tr>
        <w:trPr>
          <w:trHeight w:val="467" w:hRule="atLeast"/>
        </w:trPr>
        <w:tc>
          <w:tcPr>
            <w:tcW w:w="734" w:type="dxa"/>
            <w:tcBorders>
              <w:top w:val="nil"/>
            </w:tcBorders>
            <w:shd w:fill="auto" w:val="clear"/>
            <w:vAlign w:val="center"/>
          </w:tcPr>
          <w:p>
            <w:pPr>
              <w:pStyle w:val="Normal"/>
              <w:spacing w:lineRule="auto" w:line="240" w:before="0" w:after="0"/>
              <w:jc w:val="both"/>
              <w:rPr/>
            </w:pPr>
            <w:r>
              <w:rPr>
                <w:rFonts w:ascii="Carlito" w:hAnsi="Carlito"/>
                <w:sz w:val="24"/>
                <w:szCs w:val="24"/>
              </w:rPr>
              <w:t>08</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quadrado, de fundo vermelho, pictograma fotoluminescente do tipo “Extintor de Incêndio” - Indicação de Localização do Extintor de Incêndio - Código E5 -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both"/>
              <w:rPr>
                <w:rFonts w:ascii="Carlito" w:hAnsi="Carlito"/>
                <w:sz w:val="24"/>
                <w:szCs w:val="24"/>
              </w:rPr>
            </w:pPr>
            <w:r>
              <w:rPr>
                <w:rFonts w:ascii="Carlito" w:hAnsi="Carlito"/>
                <w:sz w:val="24"/>
                <w:szCs w:val="24"/>
              </w:rPr>
              <w:drawing>
                <wp:anchor behindDoc="0" distT="0" distB="0" distL="0" distR="0" simplePos="0" locked="0" layoutInCell="1" allowOverlap="1" relativeHeight="9">
                  <wp:simplePos x="0" y="0"/>
                  <wp:positionH relativeFrom="column">
                    <wp:posOffset>0</wp:posOffset>
                  </wp:positionH>
                  <wp:positionV relativeFrom="paragraph">
                    <wp:posOffset>260985</wp:posOffset>
                  </wp:positionV>
                  <wp:extent cx="770255" cy="770255"/>
                  <wp:effectExtent l="0" t="0" r="0" b="0"/>
                  <wp:wrapSquare wrapText="largest"/>
                  <wp:docPr id="8"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9" descr=""/>
                          <pic:cNvPicPr>
                            <a:picLocks noChangeAspect="1" noChangeArrowheads="1"/>
                          </pic:cNvPicPr>
                        </pic:nvPicPr>
                        <pic:blipFill>
                          <a:blip r:embed="rId9"/>
                          <a:stretch>
                            <a:fillRect/>
                          </a:stretch>
                        </pic:blipFill>
                        <pic:spPr bwMode="auto">
                          <a:xfrm>
                            <a:off x="0" y="0"/>
                            <a:ext cx="770255" cy="770255"/>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29</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14,00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406,00</w:t>
            </w:r>
          </w:p>
        </w:tc>
      </w:tr>
      <w:tr>
        <w:trPr>
          <w:trHeight w:val="566"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09</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quadrado, de fundo vermelho, pictograma fotoluminescente do tipo “Comando Manual de Alarme” - Ponto de Acionamento de Alarme - Código E2 -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10">
                  <wp:simplePos x="0" y="0"/>
                  <wp:positionH relativeFrom="column">
                    <wp:posOffset>0</wp:posOffset>
                  </wp:positionH>
                  <wp:positionV relativeFrom="paragraph">
                    <wp:posOffset>206375</wp:posOffset>
                  </wp:positionV>
                  <wp:extent cx="770255" cy="1069975"/>
                  <wp:effectExtent l="0" t="0" r="0" b="0"/>
                  <wp:wrapSquare wrapText="largest"/>
                  <wp:docPr id="9"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0" descr=""/>
                          <pic:cNvPicPr>
                            <a:picLocks noChangeAspect="1" noChangeArrowheads="1"/>
                          </pic:cNvPicPr>
                        </pic:nvPicPr>
                        <pic:blipFill>
                          <a:blip r:embed="rId10"/>
                          <a:stretch>
                            <a:fillRect/>
                          </a:stretch>
                        </pic:blipFill>
                        <pic:spPr bwMode="auto">
                          <a:xfrm>
                            <a:off x="0" y="0"/>
                            <a:ext cx="770255" cy="1069975"/>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11,59</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69,54</w:t>
            </w:r>
          </w:p>
        </w:tc>
      </w:tr>
      <w:tr>
        <w:trPr>
          <w:trHeight w:val="1374"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10</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quadrado, de fundo vermelho, pictograma fotoluminescente do tipo “Alarme Sonoro” - Indicação do Local de Acionamento do Alarme de Incêndio - Código E1 -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11">
                  <wp:simplePos x="0" y="0"/>
                  <wp:positionH relativeFrom="column">
                    <wp:posOffset>0</wp:posOffset>
                  </wp:positionH>
                  <wp:positionV relativeFrom="paragraph">
                    <wp:posOffset>350520</wp:posOffset>
                  </wp:positionV>
                  <wp:extent cx="770255" cy="767715"/>
                  <wp:effectExtent l="0" t="0" r="0" b="0"/>
                  <wp:wrapSquare wrapText="largest"/>
                  <wp:docPr id="10"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1" descr=""/>
                          <pic:cNvPicPr>
                            <a:picLocks noChangeAspect="1" noChangeArrowheads="1"/>
                          </pic:cNvPicPr>
                        </pic:nvPicPr>
                        <pic:blipFill>
                          <a:blip r:embed="rId11"/>
                          <a:stretch>
                            <a:fillRect/>
                          </a:stretch>
                        </pic:blipFill>
                        <pic:spPr bwMode="auto">
                          <a:xfrm>
                            <a:off x="0" y="0"/>
                            <a:ext cx="770255" cy="767715"/>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11,63</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69,78</w:t>
            </w:r>
          </w:p>
        </w:tc>
      </w:tr>
      <w:tr>
        <w:trPr>
          <w:trHeight w:val="1333"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11</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Placa de sinalização de emergência, quadrado, de fundo vermelho, pictograma fotoluminescente do tipo “Abrigo de Mangueira e Hidrante” - Indicação do Abrigo da Mangueira de Incêndio com ou sem Hidrante no seu interior - Código E7 -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12">
                  <wp:simplePos x="0" y="0"/>
                  <wp:positionH relativeFrom="column">
                    <wp:posOffset>0</wp:posOffset>
                  </wp:positionH>
                  <wp:positionV relativeFrom="paragraph">
                    <wp:posOffset>457835</wp:posOffset>
                  </wp:positionV>
                  <wp:extent cx="770255" cy="702945"/>
                  <wp:effectExtent l="0" t="0" r="0" b="0"/>
                  <wp:wrapSquare wrapText="largest"/>
                  <wp:docPr id="11"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2" descr=""/>
                          <pic:cNvPicPr>
                            <a:picLocks noChangeAspect="1" noChangeArrowheads="1"/>
                          </pic:cNvPicPr>
                        </pic:nvPicPr>
                        <pic:blipFill>
                          <a:blip r:embed="rId12"/>
                          <a:stretch>
                            <a:fillRect/>
                          </a:stretch>
                        </pic:blipFill>
                        <pic:spPr bwMode="auto">
                          <a:xfrm>
                            <a:off x="0" y="0"/>
                            <a:ext cx="770255" cy="702945"/>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12,80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76,80</w:t>
            </w:r>
          </w:p>
        </w:tc>
      </w:tr>
      <w:tr>
        <w:trPr>
          <w:trHeight w:val="2152" w:hRule="atLeast"/>
        </w:trPr>
        <w:tc>
          <w:tcPr>
            <w:tcW w:w="734" w:type="dxa"/>
            <w:tcBorders>
              <w:top w:val="nil"/>
            </w:tcBorders>
            <w:shd w:fill="auto" w:val="clear"/>
            <w:vAlign w:val="center"/>
          </w:tcPr>
          <w:p>
            <w:pPr>
              <w:pStyle w:val="Normal"/>
              <w:spacing w:lineRule="auto" w:line="240" w:before="0" w:after="0"/>
              <w:jc w:val="center"/>
              <w:rPr/>
            </w:pPr>
            <w:r>
              <w:rPr>
                <w:rFonts w:ascii="Carlito" w:hAnsi="Carlito"/>
                <w:sz w:val="24"/>
                <w:szCs w:val="24"/>
              </w:rPr>
              <w:t>12</w:t>
            </w:r>
          </w:p>
        </w:tc>
        <w:tc>
          <w:tcPr>
            <w:tcW w:w="2492" w:type="dxa"/>
            <w:tcBorders>
              <w:top w:val="nil"/>
            </w:tcBorders>
            <w:shd w:fill="auto" w:val="clear"/>
            <w:vAlign w:val="center"/>
          </w:tcPr>
          <w:p>
            <w:pPr>
              <w:pStyle w:val="Normal"/>
              <w:spacing w:lineRule="auto" w:line="240" w:before="0" w:after="0"/>
              <w:jc w:val="both"/>
              <w:rPr>
                <w:rFonts w:ascii="Carlito" w:hAnsi="Carlito" w:eastAsia="Times New Roman" w:cs="Arial"/>
                <w:color w:val="000000"/>
                <w:position w:val="0"/>
                <w:sz w:val="20"/>
                <w:sz w:val="20"/>
                <w:szCs w:val="20"/>
                <w:vertAlign w:val="baseline"/>
                <w:lang w:eastAsia="zh-CN"/>
              </w:rPr>
            </w:pPr>
            <w:r>
              <w:rPr>
                <w:rFonts w:eastAsia="Times New Roman" w:cs="Arial" w:ascii="Carlito" w:hAnsi="Carlito"/>
                <w:b w:val="false"/>
                <w:i w:val="false"/>
                <w:strike w:val="false"/>
                <w:dstrike w:val="false"/>
                <w:outline w:val="false"/>
                <w:shadow w:val="false"/>
                <w:color w:val="000000"/>
                <w:position w:val="0"/>
                <w:sz w:val="20"/>
                <w:sz w:val="20"/>
                <w:szCs w:val="20"/>
                <w:u w:val="none"/>
                <w:vertAlign w:val="baseline"/>
                <w:em w:val="none"/>
                <w:lang w:eastAsia="zh-CN"/>
              </w:rPr>
              <w:t>Adesivo de sinalização de emergência, quadrado (dimensões: 1,00m x 1,00m), de fundo vermelho (dimensões: 0,70m x 0,70m, Bordas na cor Amarela - “Sinalização de Solo para Equipamentos de Combate a Incêndio” - Indicação de Localização de Equipamentos de Combate a Incêndio e Alarme para Evitar a sua Obstrução - Código E17 - CPMPB (Corpo de Bombeiros Militar da Paraíba).</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drawing>
                <wp:anchor behindDoc="0" distT="0" distB="0" distL="0" distR="0" simplePos="0" locked="0" layoutInCell="1" allowOverlap="1" relativeHeight="13">
                  <wp:simplePos x="0" y="0"/>
                  <wp:positionH relativeFrom="column">
                    <wp:posOffset>0</wp:posOffset>
                  </wp:positionH>
                  <wp:positionV relativeFrom="paragraph">
                    <wp:posOffset>421640</wp:posOffset>
                  </wp:positionV>
                  <wp:extent cx="770255" cy="770255"/>
                  <wp:effectExtent l="0" t="0" r="0" b="0"/>
                  <wp:wrapSquare wrapText="largest"/>
                  <wp:docPr id="12"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3" descr=""/>
                          <pic:cNvPicPr>
                            <a:picLocks noChangeAspect="1" noChangeArrowheads="1"/>
                          </pic:cNvPicPr>
                        </pic:nvPicPr>
                        <pic:blipFill>
                          <a:blip r:embed="rId13"/>
                          <a:stretch>
                            <a:fillRect/>
                          </a:stretch>
                        </pic:blipFill>
                        <pic:spPr bwMode="auto">
                          <a:xfrm>
                            <a:off x="0" y="0"/>
                            <a:ext cx="770255" cy="770255"/>
                          </a:xfrm>
                          <a:prstGeom prst="rect">
                            <a:avLst/>
                          </a:prstGeom>
                        </pic:spPr>
                      </pic:pic>
                    </a:graphicData>
                  </a:graphic>
                </wp:anchor>
              </w:drawing>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6</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99,16</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594,96</w:t>
            </w:r>
          </w:p>
        </w:tc>
      </w:tr>
      <w:tr>
        <w:trPr>
          <w:trHeight w:val="566"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13</w:t>
            </w:r>
          </w:p>
        </w:tc>
        <w:tc>
          <w:tcPr>
            <w:tcW w:w="2492" w:type="dxa"/>
            <w:tcBorders>
              <w:top w:val="nil"/>
            </w:tcBorders>
            <w:shd w:fill="auto" w:val="clear"/>
            <w:vAlign w:val="center"/>
          </w:tcPr>
          <w:p>
            <w:pPr>
              <w:pStyle w:val="Normal"/>
              <w:spacing w:lineRule="auto" w:line="240" w:before="0" w:after="0"/>
              <w:jc w:val="both"/>
              <w:rPr/>
            </w:pPr>
            <w:r>
              <w:rPr>
                <w:rFonts w:eastAsia="Times New Roman" w:cs="Arial"/>
                <w:b w:val="false"/>
                <w:i w:val="false"/>
                <w:strike w:val="false"/>
                <w:dstrike w:val="false"/>
                <w:outline w:val="false"/>
                <w:shadow w:val="false"/>
                <w:color w:val="000000"/>
                <w:sz w:val="18"/>
                <w:u w:val="none"/>
                <w:em w:val="none"/>
                <w:lang w:eastAsia="zh-CN"/>
              </w:rPr>
              <w:t xml:space="preserve">Bomba </w:t>
            </w:r>
            <w:r>
              <w:rPr>
                <w:b w:val="false"/>
                <w:i w:val="false"/>
                <w:strike w:val="false"/>
                <w:dstrike w:val="false"/>
                <w:outline w:val="false"/>
                <w:shadow w:val="false"/>
                <w:sz w:val="18"/>
                <w:u w:val="none"/>
                <w:em w:val="none"/>
              </w:rPr>
              <w:t xml:space="preserve">Centrífuga - </w:t>
            </w:r>
            <w:r>
              <w:rPr>
                <w:rFonts w:eastAsia="Times New Roman" w:cs="Arial"/>
                <w:b w:val="false"/>
                <w:i w:val="false"/>
                <w:strike w:val="false"/>
                <w:dstrike w:val="false"/>
                <w:outline w:val="false"/>
                <w:shadow w:val="false"/>
                <w:color w:val="000000"/>
                <w:sz w:val="18"/>
                <w:u w:val="none"/>
                <w:em w:val="none"/>
                <w:lang w:eastAsia="zh-CN"/>
              </w:rPr>
              <w:t xml:space="preserve">Padrão Incêndio – Motor Elétrico Trifásico: 2,0 a 7,5cv - 220/380V e 10,0cv – 220/380/440/760V - Norma - 3,0 cv Nema MG1-18.326 a MG1-18.341 - “Jet Pump” / 5,0 a 10,0 cv Norma - Nema MG1-18.614 - “JM” - Eixo: 3,0 cv em aço carbono - Ø 5/8” / 5,0 a 10,0 cv protegido por bucha de bronze - Rotação: 2 polos - 3.500 rpm - 60 Hz  - Carcaça e Intermediária - em liga especial de alumínio-silício, de aIta resistência a pressão e oxidação. - Rotor do tipo fechado, construído em liga especial de alumínio-silício.  - Vedação do eixo - por selo mecânico, conjunto de precisão, construído com borracha nitrílica, mola de aço inox e faces de vedação em grafite e cerâmica. Temperatura de trabalho do líquido até 80ºC. Ø 5/8”, tipo “6”- para modelos 195 S e 604S Ø 1¼”, tipo “21” - para demais modelos. </w:t>
            </w:r>
          </w:p>
          <w:p>
            <w:pPr>
              <w:pStyle w:val="Normal"/>
              <w:spacing w:lineRule="auto" w:line="240" w:before="0" w:after="0"/>
              <w:jc w:val="both"/>
              <w:rPr>
                <w:rFonts w:eastAsia="Times New Roman" w:cs="Arial"/>
                <w:color w:val="000000"/>
                <w:lang w:eastAsia="zh-CN"/>
              </w:rPr>
            </w:pPr>
            <w:r>
              <w:rPr>
                <w:rFonts w:eastAsia="Times New Roman" w:cs="Arial"/>
                <w:color w:val="000000"/>
                <w:lang w:eastAsia="zh-CN"/>
              </w:rPr>
              <w:t>MARCA MODELO DE REFERÊNCIA: DANCOR – MOD: 416 JM</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w:t>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2.616.48</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2.616.48</w:t>
            </w:r>
          </w:p>
        </w:tc>
      </w:tr>
      <w:tr>
        <w:trPr>
          <w:trHeight w:val="510"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color w:val="auto"/>
                <w:sz w:val="24"/>
                <w:szCs w:val="24"/>
              </w:rPr>
              <w:t>14</w:t>
            </w:r>
          </w:p>
        </w:tc>
        <w:tc>
          <w:tcPr>
            <w:tcW w:w="2492" w:type="dxa"/>
            <w:tcBorders>
              <w:top w:val="nil"/>
            </w:tcBorders>
            <w:shd w:fill="auto" w:val="clear"/>
            <w:vAlign w:val="center"/>
          </w:tcPr>
          <w:p>
            <w:pPr>
              <w:pStyle w:val="Normal"/>
              <w:spacing w:lineRule="auto" w:line="240" w:before="0" w:after="0"/>
              <w:jc w:val="both"/>
              <w:rPr>
                <w:color w:val="auto"/>
              </w:rPr>
            </w:pPr>
            <w:r>
              <w:rPr>
                <w:rFonts w:eastAsia="Times New Roman" w:cs="Arial"/>
                <w:color w:val="auto"/>
                <w:lang w:eastAsia="zh-CN"/>
              </w:rPr>
              <w:t xml:space="preserve">CONEXÃO HIDRÁULICA – </w:t>
            </w:r>
            <w:r>
              <w:rPr>
                <w:rFonts w:eastAsia="Times New Roman" w:cs="Arial"/>
                <w:color w:val="auto"/>
                <w:lang w:eastAsia="zh-CN"/>
              </w:rPr>
              <w:t>Material em</w:t>
            </w:r>
            <w:r>
              <w:rPr>
                <w:rFonts w:eastAsia="Times New Roman" w:cs="Arial"/>
                <w:color w:val="auto"/>
                <w:lang w:eastAsia="zh-CN"/>
              </w:rPr>
              <w:t xml:space="preserve"> Ferro Galvanizado, </w:t>
            </w:r>
            <w:r>
              <w:rPr>
                <w:rFonts w:eastAsia="Times New Roman" w:cs="Arial"/>
                <w:color w:val="auto"/>
                <w:lang w:eastAsia="zh-CN"/>
              </w:rPr>
              <w:t>Angulação 90º, Diâmetro de 2.1/2” (65 mm), aplicação em instalação de rede de combate a incêndio.</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w:t>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35,00</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105,00</w:t>
            </w:r>
          </w:p>
        </w:tc>
      </w:tr>
      <w:tr>
        <w:trPr>
          <w:trHeight w:val="1821"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15</w:t>
            </w:r>
          </w:p>
        </w:tc>
        <w:tc>
          <w:tcPr>
            <w:tcW w:w="2492" w:type="dxa"/>
            <w:tcBorders>
              <w:top w:val="nil"/>
            </w:tcBorders>
            <w:shd w:fill="auto" w:val="clear"/>
            <w:vAlign w:val="center"/>
          </w:tcPr>
          <w:p>
            <w:pPr>
              <w:pStyle w:val="Normal"/>
              <w:spacing w:lineRule="auto" w:line="240" w:before="0" w:after="0"/>
              <w:jc w:val="both"/>
              <w:rPr>
                <w:rFonts w:eastAsia="Times New Roman" w:cs="Arial"/>
                <w:color w:val="000000"/>
                <w:lang w:eastAsia="zh-CN"/>
              </w:rPr>
            </w:pPr>
            <w:r>
              <w:rPr>
                <w:rFonts w:eastAsia="Times New Roman" w:cs="Arial"/>
                <w:color w:val="000000"/>
                <w:lang w:eastAsia="zh-CN"/>
              </w:rPr>
              <w:t>TUBO DE FERRO GALVANIZADO: 2.1/2” (65 mm) – Comprimento 6 m – Aplicação em instalações hidráulicas de combate a incêndio.</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w:t>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272,66</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272,66</w:t>
            </w:r>
          </w:p>
        </w:tc>
      </w:tr>
      <w:tr>
        <w:trPr>
          <w:trHeight w:val="566"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16</w:t>
            </w:r>
          </w:p>
        </w:tc>
        <w:tc>
          <w:tcPr>
            <w:tcW w:w="2492" w:type="dxa"/>
            <w:tcBorders>
              <w:top w:val="nil"/>
            </w:tcBorders>
            <w:shd w:fill="auto" w:val="clear"/>
            <w:vAlign w:val="center"/>
          </w:tcPr>
          <w:p>
            <w:pPr>
              <w:pStyle w:val="Normal"/>
              <w:spacing w:lineRule="auto" w:line="240" w:before="0" w:after="0"/>
              <w:jc w:val="both"/>
              <w:rPr>
                <w:rFonts w:ascii="Carlito" w:hAnsi="Carlito"/>
                <w:sz w:val="24"/>
                <w:szCs w:val="24"/>
              </w:rPr>
            </w:pPr>
            <w:r>
              <w:rPr>
                <w:rFonts w:eastAsia="Times New Roman" w:cs="Arial" w:ascii="Carlito" w:hAnsi="Carlito"/>
                <w:color w:val="000000"/>
                <w:sz w:val="24"/>
                <w:szCs w:val="24"/>
                <w:lang w:eastAsia="zh-CN"/>
              </w:rPr>
              <w:t xml:space="preserve">MANGUEIRA DE COMBATE A INCÊNDIO – TIPO 2: Mangueira flexível, Revestida </w:t>
            </w:r>
            <w:r>
              <w:rPr>
                <w:rFonts w:ascii="Carlito" w:hAnsi="Carlito"/>
                <w:b w:val="false"/>
                <w:i w:val="false"/>
                <w:caps w:val="false"/>
                <w:smallCaps w:val="false"/>
                <w:color w:val="333333"/>
                <w:spacing w:val="0"/>
                <w:sz w:val="24"/>
                <w:szCs w:val="24"/>
              </w:rPr>
              <w:t>em fibra de nylon, revestida internamente com borracha sintética, por processo de vulcanização direto no tecido, e acoplado com uniões de engate rápido storz, capazes de suportar uma pressão mínima de 20 kgf/cm².</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w:t>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12</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312,38</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3.748,56</w:t>
            </w:r>
          </w:p>
        </w:tc>
      </w:tr>
      <w:tr>
        <w:trPr>
          <w:trHeight w:val="566" w:hRule="atLeast"/>
        </w:trPr>
        <w:tc>
          <w:tcPr>
            <w:tcW w:w="734"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17</w:t>
            </w:r>
          </w:p>
        </w:tc>
        <w:tc>
          <w:tcPr>
            <w:tcW w:w="2492" w:type="dxa"/>
            <w:tcBorders>
              <w:top w:val="nil"/>
            </w:tcBorders>
            <w:shd w:fill="auto" w:val="clear"/>
            <w:vAlign w:val="center"/>
          </w:tcPr>
          <w:p>
            <w:pPr>
              <w:pStyle w:val="Normal"/>
              <w:spacing w:lineRule="auto" w:line="240" w:before="0" w:after="0"/>
              <w:jc w:val="both"/>
              <w:rPr>
                <w:rFonts w:eastAsia="Times New Roman" w:cs="Arial"/>
                <w:color w:val="000000"/>
                <w:lang w:eastAsia="zh-CN"/>
              </w:rPr>
            </w:pPr>
            <w:r>
              <w:rPr>
                <w:rFonts w:eastAsia="Times New Roman" w:cs="Arial"/>
                <w:color w:val="000000"/>
                <w:lang w:eastAsia="zh-CN"/>
              </w:rPr>
              <w:t>ADESIVO DE MARCAÇÃO DE SOLO: Fita adesiva, Material Vinil, Tipo Monoface, Largura 50 mm, Comprimento 30 m, Cor: Vermelha, Aplicação Sinalização de Solo.</w:t>
            </w:r>
          </w:p>
        </w:tc>
        <w:tc>
          <w:tcPr>
            <w:tcW w:w="1359" w:type="dxa"/>
            <w:tcBorders>
              <w:top w:val="nil"/>
              <w:left w:val="nil"/>
              <w:right w:val="nil"/>
              <w:insideV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w:t>
            </w:r>
          </w:p>
        </w:tc>
        <w:tc>
          <w:tcPr>
            <w:tcW w:w="1203"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UND</w:t>
            </w:r>
          </w:p>
        </w:tc>
        <w:tc>
          <w:tcPr>
            <w:tcW w:w="1627"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w:t>
            </w:r>
          </w:p>
        </w:tc>
        <w:tc>
          <w:tcPr>
            <w:tcW w:w="1316"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31,98</w:t>
            </w:r>
          </w:p>
        </w:tc>
        <w:tc>
          <w:tcPr>
            <w:tcW w:w="1471" w:type="dxa"/>
            <w:tcBorders>
              <w:top w:val="nil"/>
            </w:tcBorders>
            <w:shd w:fill="auto" w:val="clear"/>
            <w:vAlign w:val="center"/>
          </w:tcPr>
          <w:p>
            <w:pPr>
              <w:pStyle w:val="Normal"/>
              <w:spacing w:lineRule="auto" w:line="240" w:before="0" w:after="0"/>
              <w:jc w:val="center"/>
              <w:rPr>
                <w:rFonts w:ascii="Carlito" w:hAnsi="Carlito"/>
                <w:sz w:val="24"/>
                <w:szCs w:val="24"/>
              </w:rPr>
            </w:pPr>
            <w:r>
              <w:rPr>
                <w:rFonts w:ascii="Carlito" w:hAnsi="Carlito"/>
                <w:sz w:val="24"/>
                <w:szCs w:val="24"/>
              </w:rPr>
              <w:t>95,94</w:t>
            </w:r>
          </w:p>
        </w:tc>
      </w:tr>
      <w:tr>
        <w:trPr>
          <w:trHeight w:val="566" w:hRule="atLeast"/>
        </w:trPr>
        <w:tc>
          <w:tcPr>
            <w:tcW w:w="7415" w:type="dxa"/>
            <w:gridSpan w:val="5"/>
            <w:tcBorders>
              <w:top w:val="nil"/>
            </w:tcBorders>
            <w:shd w:fill="B2B2B2" w:val="clear"/>
            <w:vAlign w:val="center"/>
          </w:tcPr>
          <w:p>
            <w:pPr>
              <w:pStyle w:val="Normal"/>
              <w:spacing w:lineRule="auto" w:line="240" w:before="0" w:after="0"/>
              <w:jc w:val="center"/>
              <w:rPr>
                <w:rFonts w:ascii="Carlito" w:hAnsi="Carlito"/>
                <w:b/>
                <w:b/>
                <w:bCs/>
                <w:sz w:val="24"/>
                <w:szCs w:val="24"/>
              </w:rPr>
            </w:pPr>
            <w:r>
              <w:rPr>
                <w:rFonts w:ascii="Carlito" w:hAnsi="Carlito"/>
                <w:b/>
                <w:bCs/>
                <w:sz w:val="24"/>
                <w:szCs w:val="24"/>
              </w:rPr>
              <w:t>VALOR TOTAL</w:t>
            </w:r>
          </w:p>
        </w:tc>
        <w:tc>
          <w:tcPr>
            <w:tcW w:w="2787" w:type="dxa"/>
            <w:gridSpan w:val="2"/>
            <w:tcBorders>
              <w:top w:val="nil"/>
            </w:tcBorders>
            <w:shd w:fill="B2B2B2" w:val="clear"/>
            <w:vAlign w:val="center"/>
          </w:tcPr>
          <w:p>
            <w:pPr>
              <w:pStyle w:val="Normal"/>
              <w:spacing w:lineRule="auto" w:line="240" w:before="0" w:after="0"/>
              <w:jc w:val="center"/>
              <w:rPr/>
            </w:pPr>
            <w:r>
              <w:rPr>
                <w:rFonts w:ascii="Carlito" w:hAnsi="Carlito"/>
                <w:b/>
                <w:bCs/>
                <w:sz w:val="24"/>
                <w:szCs w:val="24"/>
              </w:rPr>
              <w:t>R$  8.604,79</w:t>
            </w:r>
          </w:p>
        </w:tc>
      </w:tr>
    </w:tbl>
    <w:p>
      <w:pPr>
        <w:pStyle w:val="Ttulo1"/>
        <w:numPr>
          <w:ilvl w:val="1"/>
          <w:numId w:val="2"/>
        </w:numPr>
        <w:rPr>
          <w:b w:val="false"/>
          <w:b w:val="false"/>
          <w:bCs w:val="false"/>
        </w:rPr>
      </w:pPr>
      <w:r>
        <w:rPr>
          <w:rFonts w:ascii="Carlito" w:hAnsi="Carlito"/>
          <w:b w:val="false"/>
          <w:bCs w:val="false"/>
          <w:sz w:val="24"/>
          <w:szCs w:val="24"/>
        </w:rPr>
        <w:t>As placas e adesivo de sinalização devem seguir os padrões estabelecidos na Norma Técnica n° 006/2013 – do Corpo de Bombeiros Militar do Estado da Paraíba – CBMPB.</w:t>
      </w:r>
    </w:p>
    <w:p>
      <w:pPr>
        <w:pStyle w:val="Ttulo1"/>
        <w:numPr>
          <w:ilvl w:val="0"/>
          <w:numId w:val="2"/>
        </w:numPr>
        <w:rPr>
          <w:rFonts w:ascii="Carlito" w:hAnsi="Carlito"/>
          <w:sz w:val="24"/>
          <w:szCs w:val="24"/>
        </w:rPr>
      </w:pPr>
      <w:r>
        <w:rPr>
          <w:rFonts w:ascii="Carlito" w:hAnsi="Carlito"/>
          <w:sz w:val="24"/>
          <w:szCs w:val="24"/>
        </w:rPr>
        <w:t>JUSTIFICATIVA E OBJETIVO DA CONTRAT</w:t>
      </w:r>
      <w:bookmarkStart w:id="1" w:name="_GoBack"/>
      <w:bookmarkEnd w:id="1"/>
      <w:r>
        <w:rPr>
          <w:rFonts w:ascii="Carlito" w:hAnsi="Carlito"/>
          <w:sz w:val="24"/>
          <w:szCs w:val="24"/>
        </w:rPr>
        <w:t>AÇÃO</w:t>
      </w:r>
    </w:p>
    <w:p>
      <w:pPr>
        <w:pStyle w:val="ListParagraph"/>
        <w:numPr>
          <w:ilvl w:val="1"/>
          <w:numId w:val="4"/>
        </w:numPr>
        <w:spacing w:lineRule="auto" w:line="240" w:before="120" w:after="120"/>
        <w:rPr>
          <w:rFonts w:ascii="Carlito" w:hAnsi="Carlito"/>
          <w:sz w:val="24"/>
          <w:szCs w:val="24"/>
        </w:rPr>
      </w:pPr>
      <w:r>
        <w:rPr>
          <w:rFonts w:eastAsia="Times New Roman" w:cs="Arial" w:ascii="Carlito" w:hAnsi="Carlito"/>
          <w:color w:val="000000"/>
          <w:sz w:val="24"/>
          <w:szCs w:val="24"/>
          <w:lang w:val="pt-BR" w:eastAsia="zh-CN" w:bidi="ar-SA"/>
        </w:rPr>
        <w:t>A aquisição dos materiais, acima especificados elencados, destinam-se a suprir as necessidades e as demandas internas, de manutenção do sistema de combate a incêndio, além de atender às necessidades de atendimento às disposições contidas no Laudo Técnico de Vistoria - LTV n° S-001/2019/CBMPB.</w:t>
      </w:r>
    </w:p>
    <w:p>
      <w:pPr>
        <w:pStyle w:val="ListParagraph"/>
        <w:numPr>
          <w:ilvl w:val="1"/>
          <w:numId w:val="4"/>
        </w:numPr>
        <w:spacing w:lineRule="auto" w:line="240" w:before="120" w:after="120"/>
        <w:rPr>
          <w:rFonts w:ascii="Carlito" w:hAnsi="Carlito"/>
          <w:sz w:val="24"/>
          <w:szCs w:val="24"/>
        </w:rPr>
      </w:pPr>
      <w:r>
        <w:rPr>
          <w:rFonts w:eastAsia="Times New Roman" w:cs="Arial" w:ascii="Carlito" w:hAnsi="Carlito"/>
          <w:color w:val="000000"/>
          <w:sz w:val="24"/>
          <w:szCs w:val="24"/>
          <w:lang w:val="pt-BR" w:eastAsia="zh-CN" w:bidi="ar-SA"/>
        </w:rPr>
        <w:t>Diante disto, os itens são indispensáveis ao regular atendimento às disposições contidas no documento supracitado. As quantidades solicitadas de cada item foram estimadas para uso exclusivo à plena manutenção e conservação dos sistemas e instalações já existentes.</w:t>
      </w:r>
    </w:p>
    <w:p>
      <w:pPr>
        <w:pStyle w:val="Ttulo1"/>
        <w:numPr>
          <w:ilvl w:val="0"/>
          <w:numId w:val="2"/>
        </w:numPr>
        <w:spacing w:lineRule="auto" w:line="240"/>
        <w:rPr>
          <w:rFonts w:ascii="Carlito" w:hAnsi="Carlito"/>
          <w:sz w:val="24"/>
          <w:szCs w:val="24"/>
        </w:rPr>
      </w:pPr>
      <w:r>
        <w:rPr>
          <w:rFonts w:ascii="Carlito" w:hAnsi="Carlito"/>
          <w:sz w:val="24"/>
          <w:szCs w:val="24"/>
        </w:rPr>
        <w:t>CLASSIFICAÇÃO DOS BENS COMUNS</w:t>
      </w:r>
    </w:p>
    <w:p>
      <w:pPr>
        <w:pStyle w:val="ListParagraph"/>
        <w:numPr>
          <w:ilvl w:val="1"/>
          <w:numId w:val="3"/>
        </w:numPr>
        <w:spacing w:lineRule="auto" w:line="240" w:before="120" w:after="120"/>
        <w:rPr>
          <w:rFonts w:ascii="Carlito" w:hAnsi="Carlito"/>
          <w:sz w:val="24"/>
          <w:szCs w:val="24"/>
        </w:rPr>
      </w:pPr>
      <w:r>
        <w:rPr>
          <w:rFonts w:cs="Arial" w:ascii="Carlito" w:hAnsi="Carlito"/>
          <w:color w:val="000000"/>
          <w:sz w:val="24"/>
          <w:szCs w:val="24"/>
        </w:rPr>
        <w:t xml:space="preserve">Os itens constantes do presente Projeto Básico estão classificados como materiais de uso comum em conformidade com o art. 1º caput e parágrafo único da Lei 10.520 de 17 de julho de 2002. </w:t>
      </w:r>
    </w:p>
    <w:p>
      <w:pPr>
        <w:pStyle w:val="Ttulo1"/>
        <w:numPr>
          <w:ilvl w:val="0"/>
          <w:numId w:val="3"/>
        </w:numPr>
        <w:spacing w:lineRule="auto" w:line="240"/>
        <w:rPr>
          <w:rFonts w:ascii="Carlito" w:hAnsi="Carlito"/>
          <w:sz w:val="24"/>
          <w:szCs w:val="24"/>
        </w:rPr>
      </w:pPr>
      <w:r>
        <w:rPr>
          <w:rFonts w:ascii="Carlito" w:hAnsi="Carlito"/>
          <w:sz w:val="24"/>
          <w:szCs w:val="24"/>
        </w:rPr>
        <w:t>JUSTIFICATIVA PELA UTILIZAÇÃO PREFERENCIAL DO SISTEMA COTAÇÃO ELETRÔNICA</w:t>
      </w:r>
    </w:p>
    <w:p>
      <w:pPr>
        <w:pStyle w:val="ListParagraph"/>
        <w:numPr>
          <w:ilvl w:val="1"/>
          <w:numId w:val="3"/>
        </w:numPr>
        <w:spacing w:lineRule="auto" w:line="240" w:before="120" w:after="120"/>
        <w:rPr>
          <w:rFonts w:ascii="Carlito" w:hAnsi="Carlito"/>
          <w:sz w:val="24"/>
          <w:szCs w:val="24"/>
        </w:rPr>
      </w:pPr>
      <w:r>
        <w:rPr>
          <w:rFonts w:cs="Arial" w:ascii="Carlito" w:hAnsi="Carlito"/>
          <w:color w:val="000000"/>
          <w:sz w:val="24"/>
          <w:szCs w:val="24"/>
        </w:rPr>
        <w:t xml:space="preserve">Tendo em vista a necessidade de aquisição do presente material, uma vez que assegurará o regular </w:t>
      </w:r>
      <w:r>
        <w:rPr>
          <w:rFonts w:eastAsia="Times New Roman" w:cs="Arial" w:ascii="Carlito" w:hAnsi="Carlito"/>
          <w:color w:val="000000"/>
          <w:sz w:val="24"/>
          <w:szCs w:val="24"/>
          <w:lang w:val="pt-BR" w:eastAsia="zh-CN" w:bidi="ar-SA"/>
        </w:rPr>
        <w:t>às necessidades de atendimento às disposições contidas no Laudo Técnico de Vistoria - LTV n° S-001/2019/CBMPB, além de seu valor não exceder ao limite previsto no inciso II do art. 24 da Lei no 8.666, de 21 de junho de 1993, decidiu-se pela adoção preferencial da contratação por meio da compra direta.</w:t>
      </w:r>
    </w:p>
    <w:p>
      <w:pPr>
        <w:pStyle w:val="ListParagraph"/>
        <w:numPr>
          <w:ilvl w:val="1"/>
          <w:numId w:val="3"/>
        </w:numPr>
        <w:spacing w:lineRule="auto" w:line="240" w:before="120" w:after="120"/>
        <w:rPr>
          <w:rFonts w:ascii="Carlito" w:hAnsi="Carlito"/>
          <w:sz w:val="24"/>
          <w:szCs w:val="24"/>
        </w:rPr>
      </w:pPr>
      <w:r>
        <w:rPr>
          <w:rFonts w:eastAsia="Times New Roman" w:cs="Arial" w:ascii="Carlito" w:hAnsi="Carlito"/>
          <w:color w:val="000000"/>
          <w:sz w:val="24"/>
          <w:szCs w:val="24"/>
          <w:lang w:val="pt-BR" w:eastAsia="zh-CN" w:bidi="ar-SA"/>
        </w:rPr>
        <w:t xml:space="preserve"> </w:t>
      </w:r>
      <w:r>
        <w:rPr>
          <w:rFonts w:cs="Arial" w:ascii="Carlito" w:hAnsi="Carlito"/>
          <w:sz w:val="24"/>
          <w:szCs w:val="24"/>
        </w:rPr>
        <w:t>A fundamentação para a presente contratação, encontra-se no art. 4º, § 2º, Decreto 5.450/05, o qual dispõe sobre a utilização preferencial do sistema de cotação eletrônica, no qual dispõe:</w:t>
      </w:r>
    </w:p>
    <w:p>
      <w:pPr>
        <w:pStyle w:val="Normal"/>
        <w:widowControl w:val="false"/>
        <w:numPr>
          <w:ilvl w:val="0"/>
          <w:numId w:val="0"/>
        </w:numPr>
        <w:suppressAutoHyphens w:val="true"/>
        <w:bidi w:val="0"/>
        <w:spacing w:lineRule="auto" w:line="240" w:before="0" w:after="63"/>
        <w:ind w:left="2628" w:right="0" w:hanging="0"/>
        <w:jc w:val="both"/>
        <w:rPr>
          <w:rFonts w:ascii="Carlito" w:hAnsi="Carlito"/>
          <w:sz w:val="22"/>
          <w:szCs w:val="22"/>
        </w:rPr>
      </w:pPr>
      <w:bookmarkStart w:id="2" w:name="__DdeLink__780_31181455"/>
      <w:r>
        <w:rPr>
          <w:rFonts w:eastAsia="Times New Roman" w:cs="Arial" w:ascii="Carlito" w:hAnsi="Carlito"/>
          <w:color w:val="000000"/>
          <w:sz w:val="22"/>
          <w:szCs w:val="22"/>
          <w:lang w:val="pt-BR" w:eastAsia="zh-CN" w:bidi="ar-SA"/>
        </w:rPr>
        <w:t>§ 2° Na hipótese de aquisições por dispensa de licitação, fundamentadas no inciso II do art. 24 da Lei no 8.666, de 21 de junho de 1993, as unidades gestoras integrantes do SISG deverão adotar, preferencialmente, o sistema de cotação eletrônica, conforme disposto na legislação vigente.</w:t>
      </w:r>
      <w:bookmarkEnd w:id="2"/>
    </w:p>
    <w:p>
      <w:pPr>
        <w:pStyle w:val="Ttulo1"/>
        <w:numPr>
          <w:ilvl w:val="0"/>
          <w:numId w:val="2"/>
        </w:numPr>
        <w:spacing w:lineRule="auto" w:line="240"/>
        <w:rPr>
          <w:rFonts w:ascii="Carlito" w:hAnsi="Carlito"/>
          <w:sz w:val="24"/>
          <w:szCs w:val="24"/>
        </w:rPr>
      </w:pPr>
      <w:r>
        <w:rPr>
          <w:rFonts w:ascii="Carlito" w:hAnsi="Carlito"/>
          <w:sz w:val="24"/>
          <w:szCs w:val="24"/>
        </w:rPr>
        <w:t>ENTREGA E CRITÉRIOS DE ACEITAÇÃO DO OBJETO.</w:t>
      </w:r>
    </w:p>
    <w:p>
      <w:pPr>
        <w:pStyle w:val="ListParagraph"/>
        <w:numPr>
          <w:ilvl w:val="1"/>
          <w:numId w:val="6"/>
        </w:numPr>
        <w:spacing w:lineRule="auto" w:line="240" w:before="120" w:after="120"/>
        <w:rPr>
          <w:rFonts w:ascii="Carlito" w:hAnsi="Carlito"/>
          <w:sz w:val="24"/>
          <w:szCs w:val="24"/>
        </w:rPr>
      </w:pPr>
      <w:r>
        <w:rPr>
          <w:rFonts w:cs="Arial" w:ascii="Carlito" w:hAnsi="Carlito"/>
          <w:color w:val="000000"/>
          <w:sz w:val="24"/>
          <w:szCs w:val="24"/>
        </w:rPr>
        <w:t xml:space="preserve">O prazo de entrega dos bens é de 15 (qinze) dias, contados do(a) recebimento da nota de empenho, em remessa única, no seguinte endereço: </w:t>
      </w:r>
      <w:r>
        <w:rPr>
          <w:rFonts w:cs="Arial" w:ascii="Carlito" w:hAnsi="Carlito"/>
          <w:b/>
          <w:color w:val="000000"/>
          <w:sz w:val="24"/>
          <w:szCs w:val="24"/>
        </w:rPr>
        <w:t>Av. Almirante Barroso, 1077 – Centro – João Pessoa/PB – CEP: 58.013-120.</w:t>
      </w:r>
    </w:p>
    <w:p>
      <w:pPr>
        <w:pStyle w:val="ListParagraph"/>
        <w:numPr>
          <w:ilvl w:val="1"/>
          <w:numId w:val="6"/>
        </w:numPr>
        <w:spacing w:lineRule="auto" w:line="240" w:before="120" w:after="120"/>
        <w:rPr>
          <w:rFonts w:ascii="Carlito" w:hAnsi="Carlito"/>
          <w:sz w:val="24"/>
          <w:szCs w:val="24"/>
        </w:rPr>
      </w:pPr>
      <w:r>
        <w:rPr>
          <w:rFonts w:cs="Arial" w:ascii="Carlito" w:hAnsi="Carlito"/>
          <w:color w:val="000000"/>
          <w:sz w:val="24"/>
          <w:szCs w:val="24"/>
        </w:rPr>
        <w:t xml:space="preserve">Os bens serão recebidos provisoriamente no prazo de </w:t>
      </w:r>
      <w:r>
        <w:rPr>
          <w:rFonts w:cs="Arial" w:ascii="Carlito" w:hAnsi="Carlito"/>
          <w:color w:val="auto"/>
          <w:sz w:val="24"/>
          <w:szCs w:val="24"/>
        </w:rPr>
        <w:t xml:space="preserve">2 (dois) </w:t>
      </w:r>
      <w:r>
        <w:rPr>
          <w:rFonts w:cs="Arial" w:ascii="Carlito" w:hAnsi="Carlito"/>
          <w:color w:val="000000"/>
          <w:sz w:val="24"/>
          <w:szCs w:val="24"/>
        </w:rPr>
        <w:t xml:space="preserve">dias, pelo(a) </w:t>
      </w:r>
      <w:r>
        <w:rPr>
          <w:rFonts w:cs="Arial" w:ascii="Carlito" w:hAnsi="Carlito"/>
          <w:iCs/>
          <w:color w:val="000000"/>
          <w:sz w:val="24"/>
          <w:szCs w:val="24"/>
        </w:rPr>
        <w:t>responsável</w:t>
      </w:r>
      <w:r>
        <w:rPr>
          <w:rFonts w:cs="Arial" w:ascii="Carlito" w:hAnsi="Carlito"/>
          <w:color w:val="000000"/>
          <w:sz w:val="24"/>
          <w:szCs w:val="24"/>
        </w:rPr>
        <w:t xml:space="preserve"> pelo acompanhamento e fiscalização do contrato, para efeito de posterior verificação de sua conformidade com as especificações constantes neste Projeto Básico e na proposta. </w:t>
      </w:r>
    </w:p>
    <w:p>
      <w:pPr>
        <w:pStyle w:val="ListParagraph"/>
        <w:numPr>
          <w:ilvl w:val="1"/>
          <w:numId w:val="6"/>
        </w:numPr>
        <w:spacing w:lineRule="auto" w:line="240" w:before="120" w:after="120"/>
        <w:rPr>
          <w:rFonts w:ascii="Carlito" w:hAnsi="Carlito"/>
          <w:sz w:val="24"/>
          <w:szCs w:val="24"/>
        </w:rPr>
      </w:pPr>
      <w:r>
        <w:rPr>
          <w:rFonts w:cs="Arial" w:ascii="Carlito" w:hAnsi="Carlito"/>
          <w:bCs/>
          <w:color w:val="000000"/>
          <w:sz w:val="24"/>
          <w:szCs w:val="24"/>
        </w:rPr>
        <w:t>Os bens poderão ser rejeitados, no todo ou em parte, quando em desacordo com as especificações constantes neste Projeto Básico e na proposta, devendo ser substituídos no prazo de 15</w:t>
      </w:r>
      <w:r>
        <w:rPr>
          <w:rFonts w:cs="Arial" w:ascii="Carlito" w:hAnsi="Carlito"/>
          <w:bCs/>
          <w:color w:val="auto"/>
          <w:sz w:val="24"/>
          <w:szCs w:val="24"/>
        </w:rPr>
        <w:t xml:space="preserve"> (quinze) </w:t>
      </w:r>
      <w:r>
        <w:rPr>
          <w:rFonts w:cs="Arial" w:ascii="Carlito" w:hAnsi="Carlito"/>
          <w:bCs/>
          <w:color w:val="000000"/>
          <w:sz w:val="24"/>
          <w:szCs w:val="24"/>
        </w:rPr>
        <w:t>dias, a contar da notificação da contratada, às suas custas, sem prejuízo da aplicação das penalidades.</w:t>
      </w:r>
    </w:p>
    <w:p>
      <w:pPr>
        <w:pStyle w:val="ListParagraph"/>
        <w:numPr>
          <w:ilvl w:val="1"/>
          <w:numId w:val="6"/>
        </w:numPr>
        <w:spacing w:lineRule="auto" w:line="240" w:before="120" w:after="120"/>
        <w:rPr>
          <w:rFonts w:cs="Arial"/>
          <w:b/>
          <w:b/>
          <w:color w:val="000000"/>
          <w:szCs w:val="20"/>
        </w:rPr>
      </w:pPr>
      <w:r>
        <w:rPr>
          <w:rFonts w:cs="Arial" w:ascii="Carlito" w:hAnsi="Carlito"/>
          <w:color w:val="000000"/>
          <w:sz w:val="24"/>
          <w:szCs w:val="24"/>
        </w:rPr>
        <w:t>Os bens serão recebidos definitivamente no prazo de</w:t>
      </w:r>
      <w:r>
        <w:rPr>
          <w:rFonts w:cs="Arial" w:ascii="Carlito" w:hAnsi="Carlito"/>
          <w:color w:val="auto"/>
          <w:sz w:val="24"/>
          <w:szCs w:val="24"/>
        </w:rPr>
        <w:t xml:space="preserve"> 2 (dois)</w:t>
      </w:r>
      <w:r>
        <w:rPr>
          <w:rFonts w:cs="Arial" w:ascii="Carlito" w:hAnsi="Carlito"/>
          <w:color w:val="000000"/>
          <w:sz w:val="24"/>
          <w:szCs w:val="24"/>
        </w:rPr>
        <w:t xml:space="preserve"> dias, contados do recebimento provisório, após a verificação da qualidade e quantidade do material e consequente aceitação mediante termo circunstanciado.</w:t>
      </w:r>
    </w:p>
    <w:p>
      <w:pPr>
        <w:pStyle w:val="ListParagraph"/>
        <w:numPr>
          <w:ilvl w:val="2"/>
          <w:numId w:val="6"/>
        </w:numPr>
        <w:spacing w:lineRule="auto" w:line="240" w:before="120" w:after="120"/>
        <w:ind w:left="1276" w:hanging="720"/>
        <w:rPr>
          <w:rFonts w:cs="Arial"/>
          <w:b/>
          <w:b/>
          <w:color w:val="000000"/>
          <w:szCs w:val="20"/>
        </w:rPr>
      </w:pPr>
      <w:r>
        <w:rPr>
          <w:rFonts w:cs="Arial" w:ascii="Carlito" w:hAnsi="Carlito"/>
          <w:color w:val="000000"/>
          <w:sz w:val="24"/>
          <w:szCs w:val="24"/>
        </w:rPr>
        <w:t>Na hipótese de a verificação a que se refere o subitem anterior não ser procedida dentro do prazo fixado, reputar-se-á como realizada, consumando-se o recebimento definitivo no dia do esgotamento do prazo.</w:t>
      </w:r>
    </w:p>
    <w:p>
      <w:pPr>
        <w:pStyle w:val="ListParagraph"/>
        <w:numPr>
          <w:ilvl w:val="1"/>
          <w:numId w:val="6"/>
        </w:numPr>
        <w:spacing w:lineRule="auto" w:line="240" w:before="120" w:after="120"/>
        <w:rPr/>
      </w:pPr>
      <w:r>
        <w:rPr>
          <w:rFonts w:cs="Arial" w:ascii="Carlito" w:hAnsi="Carlito"/>
          <w:color w:val="000000"/>
          <w:sz w:val="24"/>
          <w:szCs w:val="24"/>
        </w:rPr>
        <w:t>O recebimento provisório ou definitivo do objeto não exclui a responsabilidade da contratada pelos prejuízos resultantes da incorreta execução do contrato.</w:t>
      </w:r>
    </w:p>
    <w:p>
      <w:pPr>
        <w:pStyle w:val="ListParagraph"/>
        <w:numPr>
          <w:ilvl w:val="0"/>
          <w:numId w:val="0"/>
        </w:numPr>
        <w:spacing w:lineRule="auto" w:line="240" w:before="120" w:after="120"/>
        <w:ind w:left="360" w:hanging="0"/>
        <w:rPr>
          <w:rFonts w:ascii="Carlito" w:hAnsi="Carlito" w:cs="Arial"/>
          <w:color w:val="000000"/>
          <w:sz w:val="24"/>
          <w:szCs w:val="20"/>
        </w:rPr>
      </w:pPr>
      <w:r>
        <w:rPr>
          <w:rFonts w:cs="Arial" w:ascii="Carlito" w:hAnsi="Carlito"/>
          <w:color w:val="000000"/>
          <w:sz w:val="24"/>
          <w:szCs w:val="20"/>
        </w:rPr>
      </w:r>
    </w:p>
    <w:p>
      <w:pPr>
        <w:pStyle w:val="Ttulo1"/>
        <w:numPr>
          <w:ilvl w:val="0"/>
          <w:numId w:val="2"/>
        </w:numPr>
        <w:spacing w:lineRule="auto" w:line="240"/>
        <w:rPr>
          <w:rFonts w:ascii="Carlito" w:hAnsi="Carlito"/>
          <w:sz w:val="24"/>
          <w:szCs w:val="24"/>
        </w:rPr>
      </w:pPr>
      <w:r>
        <w:rPr>
          <w:rFonts w:ascii="Carlito" w:hAnsi="Carlito"/>
          <w:sz w:val="24"/>
          <w:szCs w:val="24"/>
        </w:rPr>
        <w:t>OBRIGAÇÕES DA CONTRATANTE</w:t>
      </w:r>
    </w:p>
    <w:p>
      <w:pPr>
        <w:pStyle w:val="ListParagraph"/>
        <w:numPr>
          <w:ilvl w:val="0"/>
          <w:numId w:val="6"/>
        </w:numPr>
        <w:spacing w:lineRule="auto" w:line="240" w:before="120" w:after="120"/>
        <w:rPr>
          <w:rFonts w:ascii="Carlito" w:hAnsi="Carlito" w:cs="Arial"/>
          <w:vanish/>
          <w:color w:val="000000"/>
          <w:sz w:val="24"/>
          <w:szCs w:val="24"/>
        </w:rPr>
      </w:pPr>
      <w:r>
        <w:rPr>
          <w:rFonts w:cs="Arial" w:ascii="Carlito" w:hAnsi="Carlito"/>
          <w:vanish/>
          <w:color w:val="000000"/>
          <w:sz w:val="24"/>
          <w:szCs w:val="24"/>
        </w:rPr>
      </w:r>
    </w:p>
    <w:p>
      <w:pPr>
        <w:pStyle w:val="ListParagraph"/>
        <w:numPr>
          <w:ilvl w:val="1"/>
          <w:numId w:val="6"/>
        </w:numPr>
        <w:spacing w:lineRule="auto" w:line="240" w:before="120" w:after="120"/>
        <w:rPr>
          <w:rFonts w:cs="Arial"/>
          <w:color w:val="000000"/>
          <w:szCs w:val="20"/>
        </w:rPr>
      </w:pPr>
      <w:r>
        <w:rPr>
          <w:rFonts w:cs="Arial" w:ascii="Carlito" w:hAnsi="Carlito"/>
          <w:color w:val="000000"/>
          <w:sz w:val="24"/>
          <w:szCs w:val="24"/>
        </w:rPr>
        <w:t>São obrigações da Contratante:</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receber o objeto no prazo e condições estabelecidas no Edital e seus anexos;</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verificar minuciosamente, no prazo fixado, a conformidade dos bens recebidos provisoriamente com as especificações constantes do Edital e da proposta, para fins de aceitação e recebimento definitivo;</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comunicar à Contratada, por escrito, sobre imperfeições, falhas ou irregularidades verificadas no objeto fornecido, para que seja substituído, reparado ou corrigido;</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acompanhar e fiscalizar o cumprimento das obrigações da Contratada, através de comissão/servidor especialmente designado;</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efetuar o pagamento à Contratada</w:t>
      </w:r>
      <w:r>
        <w:rPr>
          <w:rFonts w:cs="Arial" w:ascii="Carlito" w:hAnsi="Carlito"/>
          <w:b/>
          <w:sz w:val="24"/>
          <w:szCs w:val="24"/>
        </w:rPr>
        <w:t xml:space="preserve"> </w:t>
      </w:r>
      <w:r>
        <w:rPr>
          <w:rFonts w:cs="Arial" w:ascii="Carlito" w:hAnsi="Carlito"/>
          <w:sz w:val="24"/>
          <w:szCs w:val="24"/>
        </w:rPr>
        <w:t>no valor correspondente ao fornecimento do objeto, no prazo e forma estabelecidos no Edital e seus anexos;</w:t>
      </w:r>
    </w:p>
    <w:p>
      <w:pPr>
        <w:pStyle w:val="ListParagraph"/>
        <w:numPr>
          <w:ilvl w:val="1"/>
          <w:numId w:val="2"/>
        </w:numPr>
        <w:spacing w:lineRule="auto" w:line="240"/>
        <w:rPr>
          <w:rFonts w:cs="Arial"/>
          <w:b/>
          <w:b/>
          <w:color w:val="000000"/>
          <w:szCs w:val="20"/>
        </w:rPr>
      </w:pPr>
      <w:r>
        <w:rPr>
          <w:rFonts w:cs="Arial" w:ascii="Carlito" w:hAnsi="Carlito"/>
          <w:sz w:val="24"/>
          <w:szCs w:val="24"/>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pPr>
        <w:pStyle w:val="Ttulo1"/>
        <w:numPr>
          <w:ilvl w:val="0"/>
          <w:numId w:val="2"/>
        </w:numPr>
        <w:spacing w:lineRule="auto" w:line="240"/>
        <w:rPr>
          <w:rFonts w:ascii="Carlito" w:hAnsi="Carlito"/>
          <w:sz w:val="24"/>
          <w:szCs w:val="24"/>
        </w:rPr>
      </w:pPr>
      <w:r>
        <w:rPr>
          <w:rFonts w:ascii="Carlito" w:hAnsi="Carlito"/>
          <w:sz w:val="24"/>
          <w:szCs w:val="24"/>
        </w:rPr>
        <w:t>OBRIGAÇÕES DA CONTRATADA</w:t>
      </w:r>
    </w:p>
    <w:p>
      <w:pPr>
        <w:pStyle w:val="ListParagraph"/>
        <w:numPr>
          <w:ilvl w:val="1"/>
          <w:numId w:val="2"/>
        </w:numPr>
        <w:spacing w:lineRule="auto" w:line="240"/>
        <w:rPr>
          <w:rFonts w:cs="Arial"/>
          <w:b/>
          <w:b/>
          <w:color w:val="000000"/>
          <w:szCs w:val="20"/>
        </w:rPr>
      </w:pPr>
      <w:r>
        <w:rPr>
          <w:rFonts w:cs="Arial" w:ascii="Carlito" w:hAnsi="Carlito"/>
          <w:sz w:val="24"/>
          <w:szCs w:val="24"/>
        </w:rPr>
        <w:t>A Contratada deve cumprir todas as obrigações constantes no Edital, seus anexos e sua proposta, assumindo como exclusivamente seus os riscos e as despesas decorrentes da boa e perfeita execução do objeto e, ainda:</w:t>
      </w:r>
    </w:p>
    <w:p>
      <w:pPr>
        <w:pStyle w:val="Normal"/>
        <w:numPr>
          <w:ilvl w:val="2"/>
          <w:numId w:val="2"/>
        </w:numPr>
        <w:spacing w:lineRule="auto" w:line="240" w:before="120" w:after="120"/>
        <w:ind w:left="1134" w:hanging="0"/>
        <w:rPr>
          <w:rFonts w:cs="Arial"/>
          <w:b/>
          <w:b/>
          <w:color w:val="000000"/>
          <w:szCs w:val="20"/>
        </w:rPr>
      </w:pPr>
      <w:r>
        <w:rPr>
          <w:rFonts w:cs="Arial" w:ascii="Carlito" w:hAnsi="Carlito"/>
          <w:sz w:val="24"/>
          <w:szCs w:val="24"/>
        </w:rPr>
        <w:t xml:space="preserve">efetuar a entrega do objeto em perfeitas condições, conforme especificações, prazo e local constantes no Edital e seus anexos, acompanhado da respectiva nota fiscal, na qual constarão as indicações referentes a: </w:t>
      </w:r>
      <w:r>
        <w:rPr>
          <w:rFonts w:cs="Arial" w:ascii="Carlito" w:hAnsi="Carlito"/>
          <w:i/>
          <w:color w:val="auto"/>
          <w:sz w:val="24"/>
          <w:szCs w:val="24"/>
        </w:rPr>
        <w:t>marca, fabricante, modelo, procedência e prazo de garantia ou validade;</w:t>
      </w:r>
    </w:p>
    <w:p>
      <w:pPr>
        <w:pStyle w:val="Normal"/>
        <w:numPr>
          <w:ilvl w:val="2"/>
          <w:numId w:val="2"/>
        </w:numPr>
        <w:spacing w:lineRule="auto" w:line="240" w:before="120" w:after="120"/>
        <w:ind w:left="1134" w:hanging="0"/>
        <w:rPr>
          <w:rFonts w:cs="Arial"/>
          <w:szCs w:val="20"/>
        </w:rPr>
      </w:pPr>
      <w:r>
        <w:rPr>
          <w:rFonts w:cs="Arial" w:ascii="Carlito" w:hAnsi="Carlito"/>
          <w:sz w:val="24"/>
          <w:szCs w:val="24"/>
        </w:rPr>
        <w:t>responsabilizar-se pelos vícios e danos decorrentes do objeto, de acordo com os artigos 12, 13 e 17 a 27, do Código de Defesa do Consumidor (Lei nº 8.078, de 1990);</w:t>
      </w:r>
    </w:p>
    <w:p>
      <w:pPr>
        <w:pStyle w:val="Normal"/>
        <w:numPr>
          <w:ilvl w:val="2"/>
          <w:numId w:val="2"/>
        </w:numPr>
        <w:spacing w:lineRule="auto" w:line="240" w:before="120" w:after="120"/>
        <w:ind w:left="1134" w:hanging="0"/>
        <w:rPr>
          <w:rFonts w:cs="Arial"/>
          <w:szCs w:val="20"/>
        </w:rPr>
      </w:pPr>
      <w:r>
        <w:rPr>
          <w:rFonts w:cs="Arial" w:ascii="Carlito" w:hAnsi="Carlito"/>
          <w:sz w:val="24"/>
          <w:szCs w:val="24"/>
        </w:rPr>
        <w:t>substituir, reparar ou corrigir, às suas expensas, no prazo fixado neste Termo de Referência, o objeto com avarias ou defeitos;</w:t>
      </w:r>
    </w:p>
    <w:p>
      <w:pPr>
        <w:pStyle w:val="Normal"/>
        <w:numPr>
          <w:ilvl w:val="2"/>
          <w:numId w:val="2"/>
        </w:numPr>
        <w:spacing w:lineRule="auto" w:line="240" w:before="120" w:after="120"/>
        <w:ind w:left="1134" w:hanging="0"/>
        <w:rPr>
          <w:rFonts w:cs="Arial"/>
          <w:szCs w:val="20"/>
        </w:rPr>
      </w:pPr>
      <w:r>
        <w:rPr>
          <w:rFonts w:cs="Arial" w:ascii="Carlito" w:hAnsi="Carlito"/>
          <w:sz w:val="24"/>
          <w:szCs w:val="24"/>
        </w:rPr>
        <w:t>comunicar à Contratante, no prazo máximo de 24 (vinte e quatro) horas que antecede a data da entrega, os motivos que impossibilitem o cumprimento do prazo previsto, com a devida comprovação;</w:t>
      </w:r>
    </w:p>
    <w:p>
      <w:pPr>
        <w:pStyle w:val="Normal"/>
        <w:numPr>
          <w:ilvl w:val="2"/>
          <w:numId w:val="2"/>
        </w:numPr>
        <w:spacing w:lineRule="auto" w:line="240" w:before="120" w:after="120"/>
        <w:ind w:left="1134" w:hanging="0"/>
        <w:rPr>
          <w:rFonts w:cs="Arial"/>
          <w:szCs w:val="20"/>
        </w:rPr>
      </w:pPr>
      <w:r>
        <w:rPr>
          <w:rFonts w:cs="Arial" w:ascii="Carlito" w:hAnsi="Carlito"/>
          <w:sz w:val="24"/>
          <w:szCs w:val="24"/>
        </w:rPr>
        <w:t>manter, durante toda a execução do contrato, em compatibilidade com as obrigações assumidas, todas as condições de habilitação e qualificação exigidas na licitação;</w:t>
      </w:r>
    </w:p>
    <w:p>
      <w:pPr>
        <w:pStyle w:val="Normal"/>
        <w:numPr>
          <w:ilvl w:val="2"/>
          <w:numId w:val="2"/>
        </w:numPr>
        <w:spacing w:lineRule="auto" w:line="240" w:before="120" w:after="120"/>
        <w:ind w:left="1134" w:hanging="0"/>
        <w:rPr>
          <w:rFonts w:cs="Arial"/>
          <w:szCs w:val="20"/>
        </w:rPr>
      </w:pPr>
      <w:r>
        <w:rPr>
          <w:rFonts w:cs="Arial" w:ascii="Carlito" w:hAnsi="Carlito"/>
          <w:sz w:val="24"/>
          <w:szCs w:val="24"/>
        </w:rPr>
        <w:t>indicar preposto para representá-la durante a execução do contrato.</w:t>
      </w:r>
    </w:p>
    <w:p>
      <w:pPr>
        <w:pStyle w:val="Ttulo1"/>
        <w:numPr>
          <w:ilvl w:val="0"/>
          <w:numId w:val="2"/>
        </w:numPr>
        <w:spacing w:lineRule="auto" w:line="240"/>
        <w:rPr>
          <w:rFonts w:ascii="Carlito" w:hAnsi="Carlito"/>
          <w:sz w:val="24"/>
          <w:szCs w:val="24"/>
        </w:rPr>
      </w:pPr>
      <w:r>
        <w:rPr>
          <w:rFonts w:ascii="Carlito" w:hAnsi="Carlito"/>
          <w:sz w:val="24"/>
          <w:szCs w:val="24"/>
        </w:rPr>
        <w:t>DA SUBCONTRATAÇÃO</w:t>
      </w:r>
    </w:p>
    <w:p>
      <w:pPr>
        <w:pStyle w:val="Normal"/>
        <w:spacing w:lineRule="auto" w:line="240" w:before="120" w:after="120"/>
        <w:ind w:left="425" w:hanging="0"/>
        <w:rPr>
          <w:rFonts w:ascii="Carlito" w:hAnsi="Carlito"/>
          <w:i w:val="false"/>
          <w:i w:val="false"/>
          <w:iCs w:val="false"/>
          <w:sz w:val="24"/>
          <w:szCs w:val="24"/>
        </w:rPr>
      </w:pPr>
      <w:r>
        <w:rPr>
          <w:rFonts w:cs="Arial" w:ascii="Carlito" w:hAnsi="Carlito"/>
          <w:i w:val="false"/>
          <w:iCs w:val="false"/>
          <w:color w:val="auto"/>
          <w:sz w:val="24"/>
          <w:szCs w:val="24"/>
        </w:rPr>
        <w:t>7.1 Não será admitida a subcontratação do objeto licitatório.</w:t>
      </w:r>
    </w:p>
    <w:p>
      <w:pPr>
        <w:pStyle w:val="Ttulo1"/>
        <w:numPr>
          <w:ilvl w:val="0"/>
          <w:numId w:val="2"/>
        </w:numPr>
        <w:spacing w:lineRule="auto" w:line="240"/>
        <w:rPr>
          <w:rFonts w:ascii="Carlito" w:hAnsi="Carlito"/>
          <w:sz w:val="24"/>
          <w:szCs w:val="24"/>
        </w:rPr>
      </w:pPr>
      <w:r>
        <w:rPr>
          <w:rFonts w:ascii="Carlito" w:hAnsi="Carlito"/>
          <w:sz w:val="24"/>
          <w:szCs w:val="24"/>
        </w:rPr>
        <w:t>ALTERAÇÃO SUBJETIVA</w:t>
      </w:r>
    </w:p>
    <w:p>
      <w:pPr>
        <w:pStyle w:val="ListParagraph"/>
        <w:numPr>
          <w:ilvl w:val="1"/>
          <w:numId w:val="2"/>
        </w:numPr>
        <w:spacing w:lineRule="auto" w:line="240"/>
        <w:rPr>
          <w:rFonts w:cs="Arial"/>
          <w:color w:val="0000FF"/>
          <w:szCs w:val="20"/>
        </w:rPr>
      </w:pPr>
      <w:r>
        <w:rPr>
          <w:rFonts w:cs="Arial" w:ascii="Carlito" w:hAnsi="Carlito"/>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pStyle w:val="Ttulo1"/>
        <w:numPr>
          <w:ilvl w:val="0"/>
          <w:numId w:val="2"/>
        </w:numPr>
        <w:spacing w:lineRule="auto" w:line="240"/>
        <w:rPr>
          <w:rFonts w:ascii="Carlito" w:hAnsi="Carlito"/>
          <w:sz w:val="24"/>
          <w:szCs w:val="24"/>
        </w:rPr>
      </w:pPr>
      <w:r>
        <w:rPr>
          <w:rFonts w:ascii="Carlito" w:hAnsi="Carlito"/>
          <w:sz w:val="24"/>
          <w:szCs w:val="24"/>
        </w:rPr>
        <w:t>CONTROLE DA EXECUÇÃO</w:t>
      </w:r>
    </w:p>
    <w:p>
      <w:pPr>
        <w:pStyle w:val="ListParagraph"/>
        <w:numPr>
          <w:ilvl w:val="1"/>
          <w:numId w:val="2"/>
        </w:numPr>
        <w:spacing w:lineRule="auto" w:line="240" w:before="0" w:after="0"/>
        <w:rPr>
          <w:rFonts w:ascii="Carlito" w:hAnsi="Carlito"/>
          <w:sz w:val="24"/>
          <w:szCs w:val="24"/>
        </w:rPr>
      </w:pPr>
      <w:r>
        <w:rPr>
          <w:rFonts w:cs="Arial" w:ascii="Carlito" w:hAnsi="Carlito"/>
          <w:color w:val="000000"/>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pPr>
        <w:pStyle w:val="Normal"/>
        <w:numPr>
          <w:ilvl w:val="2"/>
          <w:numId w:val="2"/>
        </w:numPr>
        <w:spacing w:lineRule="auto" w:line="240" w:before="0" w:after="0"/>
        <w:ind w:left="1134" w:hanging="0"/>
        <w:jc w:val="both"/>
        <w:rPr/>
      </w:pPr>
      <w:r>
        <w:rPr>
          <w:rFonts w:cs="Arial" w:ascii="Carlito" w:hAnsi="Carlito"/>
          <w:color w:val="000000"/>
          <w:sz w:val="24"/>
          <w:szCs w:val="24"/>
          <w:lang w:eastAsia="en-US"/>
        </w:rPr>
        <w:t>O recebimento de material de valor superior a R$ 176.000,00 (cento e setenta e seis mil reais) será confiado a uma comissão de, no mínimo, 3 (três) membros, designados pela autoridade competente.</w:t>
      </w:r>
    </w:p>
    <w:p>
      <w:pPr>
        <w:pStyle w:val="Normal"/>
        <w:spacing w:lineRule="auto" w:line="240" w:before="0" w:after="0"/>
        <w:ind w:left="1134" w:hanging="0"/>
        <w:jc w:val="both"/>
        <w:rPr>
          <w:rFonts w:ascii="Carlito" w:hAnsi="Carlito" w:cs="Arial"/>
          <w:color w:val="000000"/>
          <w:sz w:val="24"/>
          <w:szCs w:val="24"/>
          <w:lang w:eastAsia="en-US"/>
        </w:rPr>
      </w:pPr>
      <w:r>
        <w:rPr/>
      </w:r>
    </w:p>
    <w:p>
      <w:pPr>
        <w:pStyle w:val="Normal"/>
        <w:spacing w:lineRule="auto" w:line="240" w:before="0" w:after="0"/>
        <w:ind w:left="1134" w:hanging="0"/>
        <w:jc w:val="both"/>
        <w:rPr>
          <w:rFonts w:ascii="Carlito" w:hAnsi="Carlito" w:cs="Arial"/>
          <w:color w:val="000000"/>
          <w:sz w:val="24"/>
          <w:szCs w:val="24"/>
          <w:lang w:eastAsia="en-US"/>
        </w:rPr>
      </w:pPr>
      <w:r>
        <w:rPr/>
      </w:r>
    </w:p>
    <w:p>
      <w:pPr>
        <w:pStyle w:val="Normal"/>
        <w:spacing w:lineRule="auto" w:line="240" w:before="0" w:after="0"/>
        <w:ind w:left="1134" w:hanging="0"/>
        <w:jc w:val="both"/>
        <w:rPr>
          <w:rFonts w:ascii="Carlito" w:hAnsi="Carlito" w:cs="Arial"/>
          <w:color w:val="000000"/>
          <w:sz w:val="24"/>
          <w:szCs w:val="24"/>
          <w:lang w:eastAsia="en-US"/>
        </w:rPr>
      </w:pPr>
      <w:r>
        <w:rPr/>
      </w:r>
    </w:p>
    <w:p>
      <w:pPr>
        <w:pStyle w:val="ListParagraph"/>
        <w:numPr>
          <w:ilvl w:val="1"/>
          <w:numId w:val="2"/>
        </w:numPr>
        <w:spacing w:lineRule="auto" w:line="240"/>
        <w:rPr>
          <w:rFonts w:cs="Arial"/>
          <w:color w:val="000000"/>
          <w:szCs w:val="20"/>
        </w:rPr>
      </w:pPr>
      <w:r>
        <w:rPr>
          <w:rFonts w:cs="Arial" w:ascii="Carlito" w:hAnsi="Carlito"/>
          <w:color w:val="000000"/>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pPr>
        <w:pStyle w:val="ListParagraph"/>
        <w:numPr>
          <w:ilvl w:val="1"/>
          <w:numId w:val="2"/>
        </w:numPr>
        <w:spacing w:lineRule="auto" w:line="240"/>
        <w:rPr>
          <w:rFonts w:cs="Arial"/>
          <w:color w:val="000000"/>
          <w:szCs w:val="20"/>
        </w:rPr>
      </w:pPr>
      <w:r>
        <w:rPr>
          <w:rFonts w:cs="Arial" w:ascii="Carlito" w:hAnsi="Carlito"/>
          <w:color w:val="000000"/>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pPr>
        <w:pStyle w:val="Ttulo1"/>
        <w:numPr>
          <w:ilvl w:val="0"/>
          <w:numId w:val="2"/>
        </w:numPr>
        <w:rPr>
          <w:rFonts w:ascii="Carlito" w:hAnsi="Carlito"/>
          <w:sz w:val="24"/>
          <w:szCs w:val="24"/>
        </w:rPr>
      </w:pPr>
      <w:r>
        <w:rPr>
          <w:rFonts w:ascii="Carlito" w:hAnsi="Carlito"/>
          <w:sz w:val="24"/>
          <w:szCs w:val="24"/>
        </w:rPr>
        <w:t>DO PAGAMENTO</w:t>
      </w:r>
    </w:p>
    <w:p>
      <w:pPr>
        <w:pStyle w:val="ListParagraph"/>
        <w:numPr>
          <w:ilvl w:val="1"/>
          <w:numId w:val="2"/>
        </w:numPr>
        <w:spacing w:lineRule="auto" w:line="240"/>
        <w:rPr>
          <w:rFonts w:ascii="Carlito" w:hAnsi="Carlito"/>
          <w:sz w:val="24"/>
          <w:szCs w:val="24"/>
        </w:rPr>
      </w:pPr>
      <w:r>
        <w:rPr>
          <w:rFonts w:ascii="Carlito" w:hAnsi="Carlito"/>
          <w:sz w:val="24"/>
          <w:szCs w:val="24"/>
        </w:rPr>
        <w:t xml:space="preserve">O pagamento será realizado no prazo máximo de até </w:t>
      </w:r>
      <w:r>
        <w:rPr>
          <w:rFonts w:ascii="Carlito" w:hAnsi="Carlito"/>
          <w:b/>
          <w:color w:val="auto"/>
          <w:sz w:val="24"/>
          <w:szCs w:val="24"/>
        </w:rPr>
        <w:t>30 (trinta) dias</w:t>
      </w:r>
      <w:r>
        <w:rPr>
          <w:rFonts w:ascii="Carlito" w:hAnsi="Carlito"/>
          <w:sz w:val="24"/>
          <w:szCs w:val="24"/>
        </w:rPr>
        <w:t>, contados a partir da data final do período de adimplemento a que se referir, através de ordem bancária, para crédito em banco, agência e conta corrente indicados pelo contratado.</w:t>
      </w:r>
    </w:p>
    <w:p>
      <w:pPr>
        <w:pStyle w:val="ListParagraph"/>
        <w:numPr>
          <w:ilvl w:val="2"/>
          <w:numId w:val="2"/>
        </w:numPr>
        <w:spacing w:lineRule="auto" w:line="240"/>
        <w:rPr>
          <w:rFonts w:ascii="Carlito" w:hAnsi="Carlito"/>
          <w:sz w:val="24"/>
          <w:szCs w:val="24"/>
        </w:rPr>
      </w:pPr>
      <w:r>
        <w:rPr>
          <w:rFonts w:ascii="Carlito" w:hAnsi="Carlito"/>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r>
        <w:rPr>
          <w:rFonts w:ascii="Carlito" w:hAnsi="Carlito"/>
          <w:color w:val="000000"/>
          <w:sz w:val="24"/>
          <w:szCs w:val="24"/>
        </w:rPr>
        <w:t>.</w:t>
      </w:r>
    </w:p>
    <w:p>
      <w:pPr>
        <w:pStyle w:val="ListParagraph"/>
        <w:numPr>
          <w:ilvl w:val="1"/>
          <w:numId w:val="2"/>
        </w:numPr>
        <w:spacing w:lineRule="auto" w:line="240" w:before="120" w:after="120"/>
        <w:jc w:val="both"/>
        <w:rPr>
          <w:rFonts w:ascii="Carlito" w:hAnsi="Carlito"/>
          <w:sz w:val="24"/>
          <w:szCs w:val="24"/>
        </w:rPr>
      </w:pPr>
      <w:r>
        <w:rPr>
          <w:rFonts w:cs="Arial" w:ascii="Carlito" w:hAnsi="Carlito"/>
          <w:color w:val="000000"/>
          <w:sz w:val="24"/>
          <w:szCs w:val="24"/>
        </w:rPr>
        <w:t>Considera-se ocorrido o recebimento da nota fiscal ou fatura no momento em que o órgão contratante atestar a execução do objeto do contrato.</w:t>
      </w:r>
    </w:p>
    <w:p>
      <w:pPr>
        <w:pStyle w:val="Normal"/>
        <w:numPr>
          <w:ilvl w:val="1"/>
          <w:numId w:val="2"/>
        </w:numPr>
        <w:spacing w:lineRule="auto" w:line="240" w:before="120" w:after="120"/>
        <w:jc w:val="both"/>
        <w:rPr>
          <w:rFonts w:ascii="Carlito" w:hAnsi="Carlito"/>
          <w:sz w:val="24"/>
          <w:szCs w:val="24"/>
        </w:rPr>
      </w:pPr>
      <w:r>
        <w:rPr>
          <w:rFonts w:ascii="Carlito" w:hAnsi="Carlito"/>
          <w:color w:val="000000"/>
          <w:sz w:val="24"/>
          <w:szCs w:val="24"/>
        </w:rPr>
        <w:t xml:space="preserve">A Nota Fiscal ou Fatura deverá ser obrigatoriamente acompanhada da comprovação da regularidade fiscal, constatada por meio de consulta on-line ao SICAF ou, na impossibilidade de acesso </w:t>
      </w:r>
      <w:r>
        <w:rPr>
          <w:rFonts w:cs="Arial" w:ascii="Carlito" w:hAnsi="Carlito"/>
          <w:color w:val="000000"/>
          <w:sz w:val="24"/>
          <w:szCs w:val="24"/>
          <w:lang w:eastAsia="en-US"/>
        </w:rPr>
        <w:t>ao</w:t>
      </w:r>
      <w:r>
        <w:rPr>
          <w:rFonts w:ascii="Carlito" w:hAnsi="Carlito"/>
          <w:color w:val="000000"/>
          <w:sz w:val="24"/>
          <w:szCs w:val="24"/>
        </w:rPr>
        <w:t xml:space="preserve"> referido Sistema, mediante consulta aos sítios eletrônicos oficiais ou à documentação mencionada no art. 29 da Lei nº 8.666, de 1993. </w:t>
      </w:r>
    </w:p>
    <w:p>
      <w:pPr>
        <w:pStyle w:val="Normal"/>
        <w:numPr>
          <w:ilvl w:val="2"/>
          <w:numId w:val="2"/>
        </w:numPr>
        <w:spacing w:lineRule="auto" w:line="240" w:before="120" w:after="120"/>
        <w:jc w:val="both"/>
        <w:rPr>
          <w:rFonts w:ascii="Carlito" w:hAnsi="Carlito"/>
          <w:sz w:val="24"/>
          <w:szCs w:val="24"/>
        </w:rPr>
      </w:pPr>
      <w:r>
        <w:rPr>
          <w:rFonts w:ascii="Carlito" w:hAnsi="Carlito"/>
          <w:color w:val="000000"/>
          <w:sz w:val="24"/>
          <w:szCs w:val="24"/>
        </w:rPr>
        <w:t xml:space="preserve">Constatando-se, junto ao SICAF, a situação de irregularidade do fornecedor contratado, deverão ser tomadas as providências previstas no do art. 31 da Instrução </w:t>
      </w:r>
      <w:r>
        <w:rPr>
          <w:rFonts w:cs="Arial" w:ascii="Carlito" w:hAnsi="Carlito"/>
          <w:color w:val="000000"/>
          <w:sz w:val="24"/>
          <w:szCs w:val="24"/>
          <w:lang w:eastAsia="en-US"/>
        </w:rPr>
        <w:t>Normativa</w:t>
      </w:r>
      <w:r>
        <w:rPr>
          <w:rFonts w:ascii="Carlito" w:hAnsi="Carlito"/>
          <w:color w:val="000000"/>
          <w:sz w:val="24"/>
          <w:szCs w:val="24"/>
        </w:rPr>
        <w:t xml:space="preserve"> nº 3, de 26 de abril de 2018.</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lang w:eastAsia="en-US"/>
        </w:rPr>
        <w:t xml:space="preserve">Havendo erro na apresentação da Nota Fiscal ou dos documentos pertinentes à contratação, ou, ainda, circunstância que impeça a liquidação da despesa, como, por exemplo, </w:t>
      </w:r>
      <w:r>
        <w:rPr>
          <w:rFonts w:cs="Arial" w:ascii="Carlito" w:hAnsi="Carlito"/>
          <w:color w:val="000000"/>
          <w:sz w:val="24"/>
          <w:szCs w:val="24"/>
        </w:rPr>
        <w:t>obrigação financeira pendente, decorrente de penalidade imposta ou inadimplência,</w:t>
      </w:r>
      <w:r>
        <w:rPr>
          <w:rFonts w:cs="Arial" w:ascii="Carlito" w:hAnsi="Carlito"/>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a Contratante.</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Será considerada data do pagamento o dia em que constar como emitida a ordem bancária para pagamento.</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 xml:space="preserve">Antes de cada pagamento à contratada, será realizada consulta ao SICAF para verificar a manutenção das condições de habilitação exigidas no edital. </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 xml:space="preserve">Persistindo a irregularidade, a contratante deverá adotar as medidas necessárias à rescisão contratual nos autos do processo administrativo correspondente, assegurada à contratada a ampla defesa. </w:t>
      </w:r>
    </w:p>
    <w:p>
      <w:pPr>
        <w:pStyle w:val="Normal"/>
        <w:numPr>
          <w:ilvl w:val="1"/>
          <w:numId w:val="2"/>
        </w:numPr>
        <w:spacing w:lineRule="auto" w:line="240" w:before="120" w:after="120"/>
        <w:jc w:val="both"/>
        <w:rPr>
          <w:rFonts w:ascii="Carlito" w:hAnsi="Carlito"/>
          <w:sz w:val="24"/>
          <w:szCs w:val="24"/>
        </w:rPr>
      </w:pPr>
      <w:r>
        <w:rPr>
          <w:rFonts w:cs="Arial" w:ascii="Carlito" w:hAnsi="Carlito"/>
          <w:sz w:val="24"/>
          <w:szCs w:val="24"/>
          <w:lang w:eastAsia="en-US"/>
        </w:rPr>
        <w:t>Havendo a efetiva execução do objeto, os pagamentos serão realizados normalmente, até que se decida pela rescisão do contrato, caso a contratada não regularize sua situação junto ao SICAF.</w:t>
      </w:r>
    </w:p>
    <w:p>
      <w:pPr>
        <w:pStyle w:val="Normal"/>
        <w:numPr>
          <w:ilvl w:val="2"/>
          <w:numId w:val="2"/>
        </w:numPr>
        <w:spacing w:lineRule="auto" w:line="240" w:before="120" w:after="120"/>
        <w:jc w:val="both"/>
        <w:rPr>
          <w:rFonts w:ascii="Carlito" w:hAnsi="Carlito"/>
          <w:sz w:val="24"/>
          <w:szCs w:val="24"/>
        </w:rPr>
      </w:pPr>
      <w:r>
        <w:rPr>
          <w:rFonts w:cs="Arial" w:ascii="Carlito" w:hAnsi="Carlito"/>
          <w:sz w:val="24"/>
          <w:szCs w:val="24"/>
          <w:lang w:eastAsia="en-US"/>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pPr>
        <w:pStyle w:val="ListParagraph"/>
        <w:numPr>
          <w:ilvl w:val="1"/>
          <w:numId w:val="2"/>
        </w:numPr>
        <w:spacing w:lineRule="auto" w:line="240" w:before="120" w:after="120"/>
        <w:jc w:val="both"/>
        <w:rPr>
          <w:rFonts w:ascii="Carlito" w:hAnsi="Carlito"/>
          <w:sz w:val="24"/>
          <w:szCs w:val="24"/>
        </w:rPr>
      </w:pPr>
      <w:r>
        <w:rPr>
          <w:rFonts w:cs="Arial" w:ascii="Carlito" w:hAnsi="Carlito"/>
          <w:color w:val="000000"/>
          <w:sz w:val="24"/>
          <w:szCs w:val="24"/>
        </w:rPr>
        <w:t>Quando do pagamento, será efetuada a retenção tributária prevista na legislação aplicável.</w:t>
      </w:r>
    </w:p>
    <w:p>
      <w:pPr>
        <w:pStyle w:val="ListParagraph"/>
        <w:numPr>
          <w:ilvl w:val="2"/>
          <w:numId w:val="2"/>
        </w:numPr>
        <w:spacing w:lineRule="auto" w:line="240" w:before="120" w:after="120"/>
        <w:jc w:val="both"/>
        <w:rPr/>
      </w:pPr>
      <w:r>
        <w:rPr>
          <w:rFonts w:cs="Arial" w:ascii="Carlito" w:hAnsi="Carlito"/>
          <w:color w:val="000000"/>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pStyle w:val="ListParagraph"/>
        <w:numPr>
          <w:ilvl w:val="0"/>
          <w:numId w:val="0"/>
        </w:numPr>
        <w:spacing w:lineRule="auto" w:line="240" w:before="120" w:after="120"/>
        <w:ind w:left="357" w:hanging="0"/>
        <w:jc w:val="both"/>
        <w:rPr>
          <w:rFonts w:ascii="Carlito" w:hAnsi="Carlito" w:cs="Arial"/>
          <w:color w:val="000000"/>
          <w:sz w:val="24"/>
          <w:szCs w:val="24"/>
        </w:rPr>
      </w:pPr>
      <w:r>
        <w:rPr/>
      </w:r>
    </w:p>
    <w:p>
      <w:pPr>
        <w:pStyle w:val="ListParagraph"/>
        <w:numPr>
          <w:ilvl w:val="1"/>
          <w:numId w:val="2"/>
        </w:numPr>
        <w:spacing w:lineRule="auto" w:line="240" w:before="120" w:after="120"/>
        <w:jc w:val="both"/>
        <w:rPr/>
      </w:pPr>
      <w:r>
        <w:rPr>
          <w:rFonts w:cs="Arial" w:ascii="Carlito" w:hAnsi="Carlito"/>
          <w:color w:val="000000"/>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Normal"/>
        <w:numPr>
          <w:ilvl w:val="0"/>
          <w:numId w:val="0"/>
        </w:numPr>
        <w:tabs>
          <w:tab w:val="clear" w:pos="347"/>
          <w:tab w:val="left" w:pos="1701" w:leader="none"/>
        </w:tabs>
        <w:spacing w:lineRule="auto" w:line="240" w:before="120" w:after="120"/>
        <w:ind w:left="785" w:hanging="0"/>
        <w:jc w:val="both"/>
        <w:rPr>
          <w:rFonts w:ascii="Carlito" w:hAnsi="Carlito"/>
          <w:sz w:val="24"/>
          <w:szCs w:val="24"/>
        </w:rPr>
      </w:pPr>
      <w:r>
        <w:rPr>
          <w:rFonts w:cs="Arial" w:ascii="Carlito" w:hAnsi="Carlito"/>
          <w:color w:val="000000"/>
          <w:sz w:val="24"/>
          <w:szCs w:val="24"/>
        </w:rPr>
        <w:t>EM = I x N x VP, sendo:</w:t>
      </w:r>
    </w:p>
    <w:p>
      <w:pPr>
        <w:pStyle w:val="Normal"/>
        <w:numPr>
          <w:ilvl w:val="0"/>
          <w:numId w:val="0"/>
        </w:numPr>
        <w:tabs>
          <w:tab w:val="clear" w:pos="347"/>
          <w:tab w:val="left" w:pos="1701" w:leader="none"/>
        </w:tabs>
        <w:spacing w:lineRule="auto" w:line="240" w:before="120" w:after="120"/>
        <w:ind w:left="785" w:hanging="0"/>
        <w:jc w:val="both"/>
        <w:rPr>
          <w:rFonts w:cs="Arial"/>
          <w:color w:val="000000"/>
        </w:rPr>
      </w:pPr>
      <w:r>
        <w:rPr>
          <w:rFonts w:cs="Arial"/>
          <w:color w:val="000000"/>
        </w:rPr>
      </w:r>
    </w:p>
    <w:p>
      <w:pPr>
        <w:pStyle w:val="Normal"/>
        <w:numPr>
          <w:ilvl w:val="0"/>
          <w:numId w:val="0"/>
        </w:numPr>
        <w:tabs>
          <w:tab w:val="clear" w:pos="347"/>
          <w:tab w:val="left" w:pos="1701" w:leader="none"/>
        </w:tabs>
        <w:spacing w:lineRule="auto" w:line="240" w:before="120" w:after="120"/>
        <w:ind w:left="785" w:hanging="0"/>
        <w:jc w:val="both"/>
        <w:rPr>
          <w:rFonts w:ascii="Carlito" w:hAnsi="Carlito"/>
          <w:sz w:val="24"/>
          <w:szCs w:val="24"/>
        </w:rPr>
      </w:pPr>
      <w:r>
        <w:rPr>
          <w:rFonts w:cs="Arial" w:ascii="Carlito" w:hAnsi="Carlito"/>
          <w:color w:val="000000"/>
          <w:sz w:val="24"/>
          <w:szCs w:val="24"/>
        </w:rPr>
        <w:t>EM = Encargos moratórios;</w:t>
      </w:r>
    </w:p>
    <w:p>
      <w:pPr>
        <w:pStyle w:val="Normal"/>
        <w:numPr>
          <w:ilvl w:val="0"/>
          <w:numId w:val="0"/>
        </w:numPr>
        <w:tabs>
          <w:tab w:val="clear" w:pos="347"/>
          <w:tab w:val="left" w:pos="1701" w:leader="none"/>
        </w:tabs>
        <w:spacing w:lineRule="auto" w:line="240" w:before="120" w:after="120"/>
        <w:ind w:left="785" w:hanging="0"/>
        <w:jc w:val="both"/>
        <w:rPr>
          <w:rFonts w:ascii="Carlito" w:hAnsi="Carlito"/>
          <w:sz w:val="24"/>
          <w:szCs w:val="24"/>
        </w:rPr>
      </w:pPr>
      <w:r>
        <w:rPr>
          <w:rFonts w:cs="Arial" w:ascii="Carlito" w:hAnsi="Carlito"/>
          <w:color w:val="000000"/>
          <w:sz w:val="24"/>
          <w:szCs w:val="24"/>
        </w:rPr>
        <w:t>N = Número de dias entre a data prevista para o pagamento e a do efetivo pagamento;</w:t>
      </w:r>
    </w:p>
    <w:p>
      <w:pPr>
        <w:pStyle w:val="Normal"/>
        <w:numPr>
          <w:ilvl w:val="0"/>
          <w:numId w:val="0"/>
        </w:numPr>
        <w:tabs>
          <w:tab w:val="clear" w:pos="347"/>
          <w:tab w:val="left" w:pos="1701" w:leader="none"/>
        </w:tabs>
        <w:spacing w:lineRule="auto" w:line="240" w:before="120" w:after="120"/>
        <w:ind w:left="785" w:hanging="0"/>
        <w:jc w:val="both"/>
        <w:rPr>
          <w:rFonts w:ascii="Carlito" w:hAnsi="Carlito"/>
          <w:sz w:val="24"/>
          <w:szCs w:val="24"/>
        </w:rPr>
      </w:pPr>
      <w:r>
        <w:rPr>
          <w:rFonts w:cs="Arial" w:ascii="Carlito" w:hAnsi="Carlito"/>
          <w:color w:val="000000"/>
          <w:sz w:val="24"/>
          <w:szCs w:val="24"/>
        </w:rPr>
        <w:t>VP = Valor da parcela a ser paga.</w:t>
      </w:r>
    </w:p>
    <w:p>
      <w:pPr>
        <w:pStyle w:val="Normal"/>
        <w:numPr>
          <w:ilvl w:val="0"/>
          <w:numId w:val="0"/>
        </w:numPr>
        <w:tabs>
          <w:tab w:val="clear" w:pos="347"/>
          <w:tab w:val="left" w:pos="1701" w:leader="none"/>
        </w:tabs>
        <w:spacing w:lineRule="auto" w:line="240" w:before="120" w:after="120"/>
        <w:ind w:left="785" w:hanging="0"/>
        <w:jc w:val="both"/>
        <w:rPr/>
      </w:pPr>
      <w:r>
        <w:rPr>
          <w:rFonts w:cs="Arial" w:ascii="Carlito" w:hAnsi="Carlito"/>
          <w:color w:val="000000"/>
          <w:sz w:val="24"/>
          <w:szCs w:val="24"/>
        </w:rPr>
        <w:t>I = Índice de compensação financeira = 0,00016438, assim apurado:</w:t>
      </w:r>
    </w:p>
    <w:p>
      <w:pPr>
        <w:pStyle w:val="Normal"/>
        <w:numPr>
          <w:ilvl w:val="0"/>
          <w:numId w:val="0"/>
        </w:numPr>
        <w:tabs>
          <w:tab w:val="clear" w:pos="347"/>
          <w:tab w:val="left" w:pos="1701" w:leader="none"/>
        </w:tabs>
        <w:spacing w:lineRule="auto" w:line="240" w:before="120" w:after="120"/>
        <w:ind w:left="785" w:hanging="0"/>
        <w:jc w:val="both"/>
        <w:rPr>
          <w:rFonts w:ascii="Carlito" w:hAnsi="Carlito" w:cs="Arial"/>
          <w:color w:val="000000"/>
          <w:sz w:val="24"/>
          <w:szCs w:val="24"/>
        </w:rPr>
      </w:pPr>
      <w:r>
        <w:rPr>
          <w:rFonts w:cs="Arial" w:ascii="Carlito" w:hAnsi="Carlito"/>
          <w:color w:val="000000"/>
          <w:sz w:val="24"/>
          <w:szCs w:val="24"/>
        </w:rPr>
      </w:r>
    </w:p>
    <w:tbl>
      <w:tblPr>
        <w:tblStyle w:val="Tabelacomgrade"/>
        <w:tblW w:w="8862" w:type="dxa"/>
        <w:jc w:val="left"/>
        <w:tblInd w:w="425" w:type="dxa"/>
        <w:tblCellMar>
          <w:top w:w="0" w:type="dxa"/>
          <w:left w:w="108" w:type="dxa"/>
          <w:bottom w:w="0" w:type="dxa"/>
          <w:right w:w="108" w:type="dxa"/>
        </w:tblCellMar>
        <w:tblLook w:firstRow="1" w:noVBand="1" w:lastRow="0" w:firstColumn="1" w:lastColumn="0" w:noHBand="0" w:val="04a0"/>
      </w:tblPr>
      <w:tblGrid>
        <w:gridCol w:w="2211"/>
        <w:gridCol w:w="590"/>
        <w:gridCol w:w="1614"/>
        <w:gridCol w:w="4446"/>
      </w:tblGrid>
      <w:tr>
        <w:trPr/>
        <w:tc>
          <w:tcPr>
            <w:tcW w:w="2211" w:type="dxa"/>
            <w:tcBorders>
              <w:top w:val="nil"/>
              <w:left w:val="nil"/>
              <w:bottom w:val="nil"/>
              <w:right w:val="nil"/>
              <w:insideH w:val="nil"/>
              <w:insideV w:val="nil"/>
            </w:tcBorders>
            <w:shd w:fill="auto" w:val="clear"/>
            <w:vAlign w:val="center"/>
          </w:tcPr>
          <w:p>
            <w:pPr>
              <w:pStyle w:val="Normal"/>
              <w:numPr>
                <w:ilvl w:val="0"/>
                <w:numId w:val="0"/>
              </w:numPr>
              <w:tabs>
                <w:tab w:val="clear" w:pos="347"/>
                <w:tab w:val="left" w:pos="1701" w:leader="none"/>
              </w:tabs>
              <w:spacing w:lineRule="auto" w:line="240" w:before="0" w:after="0"/>
              <w:ind w:left="360" w:hanging="0"/>
              <w:jc w:val="center"/>
              <w:rPr>
                <w:rFonts w:eastAsia="ＭＳ 明朝"/>
                <w:lang w:eastAsia="en-US"/>
              </w:rPr>
            </w:pPr>
            <w:r>
              <w:rPr>
                <w:rFonts w:eastAsia="ＭＳ 明朝" w:cs="Arial"/>
                <w:color w:val="000000"/>
                <w:szCs w:val="20"/>
                <w:lang w:eastAsia="en-US"/>
              </w:rPr>
              <w:t>I = (TX)</w:t>
            </w:r>
          </w:p>
        </w:tc>
        <w:tc>
          <w:tcPr>
            <w:tcW w:w="590" w:type="dxa"/>
            <w:tcBorders>
              <w:top w:val="nil"/>
              <w:left w:val="nil"/>
              <w:bottom w:val="nil"/>
              <w:right w:val="nil"/>
              <w:insideH w:val="nil"/>
              <w:insideV w:val="nil"/>
            </w:tcBorders>
            <w:shd w:fill="auto" w:val="clear"/>
            <w:vAlign w:val="center"/>
          </w:tcPr>
          <w:p>
            <w:pPr>
              <w:pStyle w:val="Normal"/>
              <w:widowControl/>
              <w:numPr>
                <w:ilvl w:val="0"/>
                <w:numId w:val="0"/>
              </w:numPr>
              <w:tabs>
                <w:tab w:val="clear" w:pos="347"/>
                <w:tab w:val="left" w:pos="1701" w:leader="none"/>
              </w:tabs>
              <w:bidi w:val="0"/>
              <w:spacing w:lineRule="auto" w:line="360" w:before="0" w:after="0"/>
              <w:ind w:left="0" w:right="0" w:hanging="0"/>
              <w:jc w:val="center"/>
              <w:rPr/>
            </w:pPr>
            <w:r>
              <w:rPr>
                <w:rFonts w:eastAsia="ＭＳ 明朝" w:cs="Arial"/>
                <w:color w:val="000000"/>
                <w:szCs w:val="20"/>
                <w:lang w:eastAsia="en-US"/>
              </w:rPr>
              <w:t xml:space="preserve">I= </w:t>
            </w:r>
          </w:p>
        </w:tc>
        <w:tc>
          <w:tcPr>
            <w:tcW w:w="1614" w:type="dxa"/>
            <w:tcBorders>
              <w:top w:val="nil"/>
              <w:left w:val="nil"/>
              <w:right w:val="nil"/>
              <w:insideV w:val="nil"/>
            </w:tcBorders>
            <w:shd w:fill="auto" w:val="clear"/>
            <w:vAlign w:val="center"/>
          </w:tcPr>
          <w:p>
            <w:pPr>
              <w:pStyle w:val="Normal"/>
              <w:widowControl/>
              <w:numPr>
                <w:ilvl w:val="0"/>
                <w:numId w:val="0"/>
              </w:numPr>
              <w:tabs>
                <w:tab w:val="clear" w:pos="347"/>
                <w:tab w:val="left" w:pos="1701" w:leader="none"/>
              </w:tabs>
              <w:bidi w:val="0"/>
              <w:spacing w:lineRule="auto" w:line="360" w:before="0" w:after="0"/>
              <w:ind w:left="0" w:right="0" w:hanging="0"/>
              <w:jc w:val="center"/>
              <w:rPr/>
            </w:pPr>
            <w:r>
              <w:rPr>
                <w:rFonts w:eastAsia="ＭＳ 明朝" w:cs="Arial"/>
                <w:color w:val="000000"/>
                <w:szCs w:val="20"/>
                <w:lang w:eastAsia="en-US"/>
              </w:rPr>
              <w:t>( 6 / 100 )/365</w:t>
            </w:r>
          </w:p>
        </w:tc>
        <w:tc>
          <w:tcPr>
            <w:tcW w:w="4446" w:type="dxa"/>
            <w:tcBorders>
              <w:top w:val="nil"/>
              <w:left w:val="nil"/>
              <w:bottom w:val="nil"/>
              <w:right w:val="nil"/>
              <w:insideH w:val="nil"/>
              <w:insideV w:val="nil"/>
            </w:tcBorders>
            <w:shd w:fill="auto" w:val="clear"/>
            <w:vAlign w:val="center"/>
          </w:tcPr>
          <w:p>
            <w:pPr>
              <w:pStyle w:val="Normal"/>
              <w:numPr>
                <w:ilvl w:val="0"/>
                <w:numId w:val="0"/>
              </w:numPr>
              <w:tabs>
                <w:tab w:val="clear" w:pos="347"/>
                <w:tab w:val="left" w:pos="1701" w:leader="none"/>
              </w:tabs>
              <w:spacing w:lineRule="auto" w:line="240" w:before="0" w:after="0"/>
              <w:ind w:left="1102" w:hanging="0"/>
              <w:jc w:val="center"/>
              <w:rPr>
                <w:rFonts w:eastAsia="ＭＳ 明朝"/>
                <w:lang w:eastAsia="en-US"/>
              </w:rPr>
            </w:pPr>
            <w:r>
              <w:rPr>
                <w:rFonts w:eastAsia="ＭＳ 明朝" w:cs="Arial"/>
                <w:color w:val="000000"/>
                <w:szCs w:val="20"/>
                <w:lang w:eastAsia="en-US"/>
              </w:rPr>
              <w:t>I = 0,00016438</w:t>
            </w:r>
          </w:p>
          <w:p>
            <w:pPr>
              <w:pStyle w:val="Normal"/>
              <w:numPr>
                <w:ilvl w:val="0"/>
                <w:numId w:val="0"/>
              </w:numPr>
              <w:tabs>
                <w:tab w:val="clear" w:pos="347"/>
                <w:tab w:val="left" w:pos="1701" w:leader="none"/>
              </w:tabs>
              <w:spacing w:lineRule="auto" w:line="240" w:before="0" w:after="0"/>
              <w:ind w:hanging="0"/>
              <w:jc w:val="center"/>
              <w:rPr/>
            </w:pPr>
            <w:r>
              <w:rPr>
                <w:rFonts w:eastAsia="ＭＳ 明朝" w:cs="Arial"/>
                <w:color w:val="000000"/>
                <w:szCs w:val="20"/>
                <w:lang w:eastAsia="en-US"/>
              </w:rPr>
              <w:t>TX = Percentual da taxa anual = 6%</w:t>
            </w:r>
          </w:p>
        </w:tc>
      </w:tr>
    </w:tbl>
    <w:p>
      <w:pPr>
        <w:pStyle w:val="Normal"/>
        <w:rPr/>
      </w:pPr>
      <w:r>
        <w:rPr/>
      </w:r>
    </w:p>
    <w:p>
      <w:pPr>
        <w:pStyle w:val="Nivel1"/>
        <w:numPr>
          <w:ilvl w:val="0"/>
          <w:numId w:val="2"/>
        </w:numPr>
        <w:ind w:left="357" w:hanging="357"/>
        <w:rPr>
          <w:rFonts w:ascii="Carlito" w:hAnsi="Carlito"/>
          <w:sz w:val="24"/>
          <w:szCs w:val="24"/>
        </w:rPr>
      </w:pPr>
      <w:r>
        <w:rPr>
          <w:rFonts w:ascii="Carlito" w:hAnsi="Carlito"/>
          <w:sz w:val="24"/>
          <w:szCs w:val="24"/>
        </w:rPr>
        <w:t xml:space="preserve">DO REAJUSTE </w:t>
      </w:r>
    </w:p>
    <w:p>
      <w:pPr>
        <w:pStyle w:val="ListParagraph"/>
        <w:widowControl/>
        <w:numPr>
          <w:ilvl w:val="1"/>
          <w:numId w:val="2"/>
        </w:numPr>
        <w:bidi w:val="0"/>
        <w:spacing w:lineRule="auto" w:line="240" w:before="120" w:after="120"/>
        <w:ind w:left="0" w:right="0" w:hanging="0"/>
        <w:jc w:val="both"/>
        <w:rPr>
          <w:rFonts w:ascii="Carlito" w:hAnsi="Carlito"/>
          <w:sz w:val="24"/>
          <w:szCs w:val="24"/>
        </w:rPr>
      </w:pPr>
      <w:r>
        <w:rPr>
          <w:rFonts w:cs="Arial" w:ascii="Carlito" w:hAnsi="Carlito"/>
          <w:color w:val="000000"/>
          <w:sz w:val="24"/>
          <w:szCs w:val="24"/>
        </w:rPr>
        <w:t>Os preços são fixos e irreajustáveis no prazo de um ano contado da data limite para a apresentação das propostas.</w:t>
      </w:r>
    </w:p>
    <w:p>
      <w:pPr>
        <w:pStyle w:val="ListParagraph"/>
        <w:numPr>
          <w:ilvl w:val="2"/>
          <w:numId w:val="2"/>
        </w:numPr>
        <w:spacing w:lineRule="auto" w:line="240" w:before="120" w:after="120"/>
        <w:ind w:left="1134" w:hanging="0"/>
        <w:jc w:val="both"/>
        <w:rPr>
          <w:rFonts w:ascii="Carlito" w:hAnsi="Carlito"/>
          <w:sz w:val="24"/>
          <w:szCs w:val="24"/>
        </w:rPr>
      </w:pPr>
      <w:r>
        <w:rPr>
          <w:rFonts w:cs="Arial" w:ascii="Carlito" w:hAnsi="Carlito"/>
          <w:sz w:val="24"/>
          <w:szCs w:val="24"/>
        </w:rPr>
        <w:t xml:space="preserve">Dentro do prazo de vigência do contrato e mediante solicitação da contratada, os preços contratados poderão sofrer reajuste após o interregno de um ano, aplicando-se o índice </w:t>
      </w:r>
      <w:r>
        <w:rPr>
          <w:rFonts w:cs="Arial" w:ascii="Carlito" w:hAnsi="Carlito"/>
          <w:color w:val="auto"/>
          <w:sz w:val="24"/>
          <w:szCs w:val="24"/>
          <w:lang w:eastAsia="pt-BR"/>
        </w:rPr>
        <w:t>IPCA/IBGE,</w:t>
      </w:r>
      <w:r>
        <w:rPr>
          <w:rFonts w:cs="Arial" w:ascii="Carlito" w:hAnsi="Carlito"/>
          <w:sz w:val="24"/>
          <w:szCs w:val="24"/>
        </w:rPr>
        <w:t xml:space="preserve"> exclusivamente para as obrigações iniciadas e concluídas após a ocorrência da anualidade</w:t>
      </w:r>
      <w:r>
        <w:rPr>
          <w:rFonts w:cs="Arial" w:ascii="Carlito" w:hAnsi="Carlito"/>
          <w:color w:val="000000"/>
          <w:sz w:val="24"/>
          <w:szCs w:val="24"/>
        </w:rPr>
        <w:t>.</w:t>
      </w:r>
    </w:p>
    <w:p>
      <w:pPr>
        <w:pStyle w:val="Quote"/>
        <w:numPr>
          <w:ilvl w:val="0"/>
          <w:numId w:val="0"/>
        </w:numPr>
        <w:spacing w:lineRule="auto" w:line="240"/>
        <w:ind w:left="2912" w:hanging="0"/>
        <w:rPr>
          <w:rFonts w:ascii="Carlito" w:hAnsi="Carlito"/>
          <w:sz w:val="24"/>
          <w:szCs w:val="24"/>
        </w:rPr>
      </w:pPr>
      <w:r>
        <w:rPr>
          <w:rFonts w:ascii="Carlito" w:hAnsi="Carlito"/>
          <w:sz w:val="24"/>
          <w:szCs w:val="24"/>
        </w:rPr>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Nos reajustes subsequentes ao primeiro, o interregno mínimo de um ano será contado a partir dos efeitos financeiros do último reajuste.</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 xml:space="preserve">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 </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Nas aferições finais, o índice utilizado para reajuste será, obrigatoriamente, o definitivo.</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Caso o índice estabelecido para reajustamento venha a ser extinto ou de qualquer forma não possa mais ser utilizado, será adotado, em substituição, o que vier a ser determinado pela legislação então em vigor.</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 xml:space="preserve">Na ausência de previsão legal quanto ao índice substituto, as partes elegerão novo índice oficial, para reajustamento do preço do valor remanescente, por meio de termo aditivo. </w:t>
      </w:r>
    </w:p>
    <w:p>
      <w:pPr>
        <w:pStyle w:val="ListParagraph"/>
        <w:numPr>
          <w:ilvl w:val="1"/>
          <w:numId w:val="2"/>
        </w:numPr>
        <w:spacing w:lineRule="auto" w:line="240" w:before="120" w:after="120"/>
        <w:ind w:left="425" w:hanging="0"/>
        <w:jc w:val="both"/>
        <w:rPr>
          <w:rFonts w:ascii="Carlito" w:hAnsi="Carlito"/>
          <w:sz w:val="24"/>
          <w:szCs w:val="24"/>
        </w:rPr>
      </w:pPr>
      <w:r>
        <w:rPr>
          <w:rFonts w:cs="Arial" w:ascii="Carlito" w:hAnsi="Carlito"/>
          <w:color w:val="000000"/>
          <w:sz w:val="24"/>
          <w:szCs w:val="24"/>
        </w:rPr>
        <w:t>O reajuste será realizado por apostilamento.</w:t>
      </w:r>
    </w:p>
    <w:p>
      <w:pPr>
        <w:pStyle w:val="ListParagraph"/>
        <w:spacing w:lineRule="auto" w:line="240" w:before="120" w:after="120"/>
        <w:ind w:left="425" w:hanging="0"/>
        <w:jc w:val="both"/>
        <w:rPr>
          <w:rFonts w:cs="Arial"/>
          <w:color w:val="000000"/>
        </w:rPr>
      </w:pPr>
      <w:r>
        <w:rPr>
          <w:rFonts w:cs="Arial"/>
          <w:color w:val="000000"/>
        </w:rPr>
      </w:r>
    </w:p>
    <w:p>
      <w:pPr>
        <w:pStyle w:val="Nivel1"/>
        <w:numPr>
          <w:ilvl w:val="0"/>
          <w:numId w:val="2"/>
        </w:numPr>
        <w:ind w:left="357" w:hanging="357"/>
        <w:rPr>
          <w:rFonts w:ascii="Carlito" w:hAnsi="Carlito"/>
          <w:sz w:val="24"/>
          <w:szCs w:val="24"/>
        </w:rPr>
      </w:pPr>
      <w:r>
        <w:rPr>
          <w:rFonts w:ascii="Carlito" w:hAnsi="Carlito"/>
          <w:sz w:val="24"/>
          <w:szCs w:val="24"/>
        </w:rPr>
        <w:t>DA GARANTIA DE EXECUÇÃO</w:t>
      </w:r>
    </w:p>
    <w:p>
      <w:pPr>
        <w:pStyle w:val="Normal"/>
        <w:widowControl/>
        <w:numPr>
          <w:ilvl w:val="1"/>
          <w:numId w:val="2"/>
        </w:numPr>
        <w:bidi w:val="0"/>
        <w:spacing w:lineRule="auto" w:line="276" w:before="120" w:after="120"/>
        <w:ind w:left="0" w:right="0" w:hanging="0"/>
        <w:jc w:val="both"/>
        <w:rPr>
          <w:rFonts w:ascii="Carlito" w:hAnsi="Carlito"/>
          <w:i w:val="false"/>
          <w:i w:val="false"/>
          <w:iCs w:val="false"/>
          <w:color w:val="auto"/>
          <w:sz w:val="24"/>
          <w:szCs w:val="24"/>
        </w:rPr>
      </w:pPr>
      <w:r>
        <w:rPr>
          <w:rFonts w:cs="Arial" w:ascii="Carlito" w:hAnsi="Carlito"/>
          <w:i w:val="false"/>
          <w:iCs w:val="false"/>
          <w:color w:val="auto"/>
          <w:sz w:val="24"/>
          <w:szCs w:val="24"/>
        </w:rPr>
        <w:t>Não haverá exigência de garantia contratual da execução, pelas razões abaixo justificadas:</w:t>
      </w:r>
    </w:p>
    <w:p>
      <w:pPr>
        <w:pStyle w:val="Normal"/>
        <w:widowControl/>
        <w:numPr>
          <w:ilvl w:val="2"/>
          <w:numId w:val="2"/>
        </w:numPr>
        <w:bidi w:val="0"/>
        <w:spacing w:lineRule="auto" w:line="276" w:before="120" w:after="120"/>
        <w:ind w:left="0" w:right="0" w:hanging="0"/>
        <w:jc w:val="both"/>
        <w:rPr>
          <w:rFonts w:ascii="Carlito" w:hAnsi="Carlito"/>
          <w:i w:val="false"/>
          <w:i w:val="false"/>
          <w:iCs w:val="false"/>
          <w:color w:val="auto"/>
          <w:sz w:val="24"/>
          <w:szCs w:val="24"/>
        </w:rPr>
      </w:pPr>
      <w:r>
        <w:rPr>
          <w:rFonts w:cs="Arial" w:ascii="Helvetica Neue;Helvetica;Arial;sans-serif" w:hAnsi="Helvetica Neue;Helvetica;Arial;sans-serif"/>
          <w:b w:val="false"/>
          <w:i w:val="false"/>
          <w:iCs w:val="false"/>
          <w:caps w:val="false"/>
          <w:smallCaps w:val="false"/>
          <w:color w:val="333333"/>
          <w:spacing w:val="0"/>
          <w:sz w:val="24"/>
          <w:szCs w:val="24"/>
        </w:rPr>
        <w:t>O objeto, pela sua natureza, peculiaridades e complexidades, não ensejem, de fato, a necessidade de uma maior segurança em relação à execução do contrato;</w:t>
      </w:r>
      <w:r>
        <w:rPr>
          <w:rFonts w:cs="Arial" w:ascii="Carlito" w:hAnsi="Carlito"/>
          <w:i w:val="false"/>
          <w:iCs w:val="false"/>
          <w:color w:val="auto"/>
          <w:sz w:val="24"/>
          <w:szCs w:val="24"/>
        </w:rPr>
        <w:t xml:space="preserve"> </w:t>
      </w:r>
    </w:p>
    <w:p>
      <w:pPr>
        <w:pStyle w:val="Ttulo1"/>
        <w:numPr>
          <w:ilvl w:val="0"/>
          <w:numId w:val="2"/>
        </w:numPr>
        <w:spacing w:lineRule="auto" w:line="240"/>
        <w:rPr>
          <w:rFonts w:ascii="Carlito" w:hAnsi="Carlito"/>
          <w:sz w:val="24"/>
          <w:szCs w:val="24"/>
        </w:rPr>
      </w:pPr>
      <w:r>
        <w:rPr>
          <w:rFonts w:cs="Arial" w:ascii="Carlito" w:hAnsi="Carlito"/>
          <w:sz w:val="24"/>
          <w:szCs w:val="24"/>
        </w:rPr>
        <w:t>DAS SANÇÕES ADMINISTRATIVAS</w:t>
      </w:r>
    </w:p>
    <w:p>
      <w:pPr>
        <w:pStyle w:val="Nivel2"/>
        <w:widowControl/>
        <w:numPr>
          <w:ilvl w:val="1"/>
          <w:numId w:val="2"/>
        </w:numPr>
        <w:bidi w:val="0"/>
        <w:spacing w:lineRule="auto" w:line="276" w:before="120" w:after="120"/>
        <w:ind w:left="0" w:right="0" w:hanging="0"/>
        <w:jc w:val="both"/>
        <w:rPr>
          <w:rFonts w:ascii="Carlito" w:hAnsi="Carlito"/>
          <w:sz w:val="24"/>
          <w:szCs w:val="24"/>
        </w:rPr>
      </w:pPr>
      <w:r>
        <w:rPr>
          <w:rFonts w:cs="Arial" w:ascii="Carlito" w:hAnsi="Carlito"/>
          <w:sz w:val="24"/>
          <w:szCs w:val="24"/>
        </w:rPr>
        <w:t xml:space="preserve">Comete infração administrativa nos termos da Lei nº 8.666, de 1993, o </w:t>
      </w:r>
      <w:r>
        <w:rPr>
          <w:rFonts w:cs="Arial" w:ascii="Carlito" w:hAnsi="Carlito"/>
          <w:color w:val="000000"/>
          <w:sz w:val="24"/>
          <w:szCs w:val="24"/>
        </w:rPr>
        <w:t>licitante/adjudicatário que:</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não assinar o termo de contrato, quando convocado dentro do prazo de validade da proposta;</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apresentar documentação falsa;</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deixar de entregar os documentos exigidos no certame;</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ensejar o retardamento da execução do objeto;</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não mantiver a proposta;</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cometer fraude fiscal;</w:t>
      </w:r>
    </w:p>
    <w:p>
      <w:pPr>
        <w:pStyle w:val="Normal"/>
        <w:widowControl/>
        <w:numPr>
          <w:ilvl w:val="2"/>
          <w:numId w:val="2"/>
        </w:numPr>
        <w:suppressAutoHyphens w:val="false"/>
        <w:spacing w:lineRule="auto" w:line="276" w:before="120" w:after="120"/>
        <w:ind w:left="1134" w:hanging="0"/>
        <w:jc w:val="both"/>
        <w:rPr>
          <w:rFonts w:ascii="Carlito" w:hAnsi="Carlito"/>
          <w:sz w:val="24"/>
          <w:szCs w:val="24"/>
        </w:rPr>
      </w:pPr>
      <w:r>
        <w:rPr>
          <w:rFonts w:cs="Arial" w:ascii="Carlito" w:hAnsi="Carlito"/>
          <w:color w:val="000000"/>
          <w:sz w:val="24"/>
          <w:szCs w:val="24"/>
        </w:rPr>
        <w:t>comportar-se de modo inidôneo.</w:t>
      </w:r>
    </w:p>
    <w:p>
      <w:pPr>
        <w:pStyle w:val="Nivel2"/>
        <w:widowControl/>
        <w:numPr>
          <w:ilvl w:val="1"/>
          <w:numId w:val="2"/>
        </w:numPr>
        <w:suppressAutoHyphens w:val="false"/>
        <w:bidi w:val="0"/>
        <w:spacing w:lineRule="auto" w:line="276" w:before="120" w:after="120"/>
        <w:ind w:left="0" w:right="0" w:hanging="0"/>
        <w:jc w:val="both"/>
        <w:rPr>
          <w:rFonts w:ascii="Carlito" w:hAnsi="Carlito"/>
          <w:sz w:val="24"/>
          <w:szCs w:val="24"/>
        </w:rPr>
      </w:pPr>
      <w:r>
        <w:rPr>
          <w:rFonts w:cs="Arial" w:ascii="Carlito" w:hAnsi="Carlito"/>
          <w:color w:val="000000"/>
          <w:sz w:val="24"/>
          <w:szCs w:val="24"/>
        </w:rPr>
        <w:t>Considera-se comportamento inidôneo, entre outros, a declaração falsa quanto às condições de participação, quanto ao enquadramento como ME/EPP ou o conluio entre os licitantes, em qualquer momento da licitação, mesmo após o encerramento da fase de lances.</w:t>
      </w:r>
    </w:p>
    <w:p>
      <w:pPr>
        <w:pStyle w:val="ListParagraph"/>
        <w:numPr>
          <w:ilvl w:val="1"/>
          <w:numId w:val="2"/>
        </w:numPr>
        <w:rPr>
          <w:rFonts w:ascii="Carlito" w:hAnsi="Carlito"/>
          <w:sz w:val="24"/>
          <w:szCs w:val="24"/>
        </w:rPr>
      </w:pPr>
      <w:r>
        <w:rPr>
          <w:rFonts w:cs="Arial" w:ascii="Carlito" w:hAnsi="Carlito"/>
          <w:sz w:val="24"/>
          <w:szCs w:val="24"/>
        </w:rPr>
        <w:t xml:space="preserve">O licitante/adjudicatário que cometer qualquer das infrações </w:t>
      </w:r>
      <w:r>
        <w:rPr>
          <w:rFonts w:cs="Arial" w:ascii="Carlito" w:hAnsi="Carlito"/>
          <w:sz w:val="24"/>
          <w:szCs w:val="24"/>
          <w:shd w:fill="FFFFFF" w:val="clear"/>
        </w:rPr>
        <w:t>acima discriminadas ficará sujeita, sem prejuízo da responsabilidade civil e criminal, às seguintes sanções:</w:t>
      </w:r>
    </w:p>
    <w:p>
      <w:pPr>
        <w:pStyle w:val="ListParagraph"/>
        <w:numPr>
          <w:ilvl w:val="2"/>
          <w:numId w:val="2"/>
        </w:numPr>
        <w:spacing w:lineRule="auto" w:line="240"/>
        <w:rPr>
          <w:rFonts w:ascii="Carlito" w:hAnsi="Carlito"/>
          <w:sz w:val="24"/>
          <w:szCs w:val="24"/>
        </w:rPr>
      </w:pPr>
      <w:r>
        <w:rPr>
          <w:rFonts w:cs="Arial" w:ascii="Carlito" w:hAnsi="Carlito"/>
          <w:sz w:val="24"/>
          <w:szCs w:val="24"/>
        </w:rPr>
        <w:t>advertência por faltas leves, assim entendidas aquelas que não acarretem prejuízos significativos para a Contratante;</w:t>
      </w:r>
    </w:p>
    <w:p>
      <w:pPr>
        <w:pStyle w:val="ListParagraph"/>
        <w:numPr>
          <w:ilvl w:val="2"/>
          <w:numId w:val="2"/>
        </w:numPr>
        <w:spacing w:lineRule="auto" w:line="240"/>
        <w:rPr>
          <w:rFonts w:ascii="Carlito" w:hAnsi="Carlito"/>
          <w:sz w:val="24"/>
          <w:szCs w:val="24"/>
        </w:rPr>
      </w:pPr>
      <w:r>
        <w:rPr>
          <w:rFonts w:cs="Arial" w:ascii="Carlito" w:hAnsi="Carlito"/>
          <w:sz w:val="24"/>
          <w:szCs w:val="24"/>
        </w:rPr>
        <w:t>multa moratória de 0,33% (trinta e três décimos por cento) por dia de atraso injustificado sobre o valor da parcela inadimplida, até o limite de 30 (trinta) dias;</w:t>
      </w:r>
    </w:p>
    <w:p>
      <w:pPr>
        <w:pStyle w:val="ListParagraph"/>
        <w:numPr>
          <w:ilvl w:val="2"/>
          <w:numId w:val="2"/>
        </w:numPr>
        <w:spacing w:lineRule="auto" w:line="240"/>
        <w:rPr>
          <w:rFonts w:ascii="Carlito" w:hAnsi="Carlito"/>
          <w:sz w:val="24"/>
          <w:szCs w:val="24"/>
        </w:rPr>
      </w:pPr>
      <w:r>
        <w:rPr>
          <w:rFonts w:cs="Arial" w:ascii="Carlito" w:hAnsi="Carlito"/>
          <w:sz w:val="24"/>
          <w:szCs w:val="24"/>
        </w:rPr>
        <w:t xml:space="preserve">suspensão de licitar e impedimento de contratar com o órgão, entidade ou unidade administrativa pela qual a Administração Pública opera e atua concretamente, pelo prazo de até dois anos; </w:t>
      </w:r>
    </w:p>
    <w:p>
      <w:pPr>
        <w:pStyle w:val="ListParagraph"/>
        <w:numPr>
          <w:ilvl w:val="2"/>
          <w:numId w:val="2"/>
        </w:numPr>
        <w:spacing w:lineRule="auto" w:line="240"/>
        <w:rPr>
          <w:rFonts w:ascii="Carlito" w:hAnsi="Carlito"/>
          <w:sz w:val="24"/>
          <w:szCs w:val="24"/>
        </w:rPr>
      </w:pPr>
      <w:r>
        <w:rPr>
          <w:rFonts w:cs="Arial" w:ascii="Carlito" w:hAnsi="Carlito"/>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pPr>
        <w:pStyle w:val="ListParagraph"/>
        <w:numPr>
          <w:ilvl w:val="1"/>
          <w:numId w:val="2"/>
        </w:numPr>
        <w:spacing w:lineRule="auto" w:line="240"/>
        <w:rPr>
          <w:rFonts w:ascii="Carlito" w:hAnsi="Carlito"/>
          <w:sz w:val="24"/>
          <w:szCs w:val="24"/>
        </w:rPr>
      </w:pPr>
      <w:r>
        <w:rPr>
          <w:rFonts w:cs="Arial" w:ascii="Carlito" w:hAnsi="Carlito"/>
          <w:color w:val="000000"/>
          <w:sz w:val="24"/>
          <w:szCs w:val="24"/>
        </w:rPr>
        <w:t>A penalidade de multa pode ser aplicada cumulativamente com as demais sanções.</w:t>
      </w:r>
    </w:p>
    <w:p>
      <w:pPr>
        <w:pStyle w:val="ListParagraph"/>
        <w:numPr>
          <w:ilvl w:val="1"/>
          <w:numId w:val="2"/>
        </w:numPr>
        <w:spacing w:lineRule="auto" w:line="240"/>
        <w:rPr>
          <w:rFonts w:ascii="Carlito" w:hAnsi="Carlito"/>
          <w:sz w:val="24"/>
          <w:szCs w:val="24"/>
        </w:rPr>
      </w:pPr>
      <w:r>
        <w:rPr>
          <w:rFonts w:cs="Arial" w:ascii="Carlito" w:hAnsi="Carlito"/>
          <w:sz w:val="24"/>
          <w:szCs w:val="24"/>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pPr>
        <w:pStyle w:val="ListParagraph"/>
        <w:numPr>
          <w:ilvl w:val="1"/>
          <w:numId w:val="2"/>
        </w:numPr>
        <w:spacing w:lineRule="auto" w:line="240"/>
        <w:rPr>
          <w:rFonts w:ascii="Carlito" w:hAnsi="Carlito"/>
          <w:sz w:val="24"/>
          <w:szCs w:val="24"/>
        </w:rPr>
      </w:pPr>
      <w:r>
        <w:rPr>
          <w:rFonts w:cs="Arial" w:ascii="Carlito" w:hAnsi="Carlito"/>
          <w:sz w:val="24"/>
          <w:szCs w:val="24"/>
        </w:rPr>
        <w:t>A apuração e o julgamento das demais infrações administrativas não consideradas como ato lesivo à Administração Pública nacional ou estrangeira nos termos da Lei nº 12.846, de 1º de agosto de 2013, seguirão seu rito normal na unidade administrativa.</w:t>
      </w:r>
    </w:p>
    <w:p>
      <w:pPr>
        <w:pStyle w:val="ListParagraph"/>
        <w:numPr>
          <w:ilvl w:val="1"/>
          <w:numId w:val="2"/>
        </w:numPr>
        <w:spacing w:lineRule="auto" w:line="240"/>
        <w:rPr>
          <w:rFonts w:ascii="Carlito" w:hAnsi="Carlito"/>
          <w:sz w:val="24"/>
          <w:szCs w:val="24"/>
        </w:rPr>
      </w:pPr>
      <w:r>
        <w:rPr>
          <w:rFonts w:cs="Arial" w:ascii="Carlito" w:hAnsi="Carlito"/>
          <w:sz w:val="24"/>
          <w:szCs w:val="24"/>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pPr>
        <w:pStyle w:val="ListParagraph"/>
        <w:numPr>
          <w:ilvl w:val="1"/>
          <w:numId w:val="2"/>
        </w:numPr>
        <w:spacing w:lineRule="auto" w:line="240"/>
        <w:rPr>
          <w:rFonts w:ascii="Carlito" w:hAnsi="Carlito"/>
          <w:sz w:val="24"/>
          <w:szCs w:val="24"/>
        </w:rPr>
      </w:pPr>
      <w:r>
        <w:rPr>
          <w:rFonts w:cs="Arial" w:ascii="Carlito" w:hAnsi="Carlito"/>
          <w:sz w:val="24"/>
          <w:szCs w:val="24"/>
        </w:rPr>
        <w:t>Caso o valor da multa não seja suficiente para cobrir os prejuízos causados pela conduta do licitante, a União ou Entidade poderá cobrar o valor remanescente judicialmente, conforme artigo 419 do Código Civil.</w:t>
      </w:r>
    </w:p>
    <w:p>
      <w:pPr>
        <w:pStyle w:val="ListParagraph"/>
        <w:numPr>
          <w:ilvl w:val="1"/>
          <w:numId w:val="2"/>
        </w:numPr>
        <w:spacing w:lineRule="auto" w:line="240"/>
        <w:rPr>
          <w:rFonts w:ascii="Carlito" w:hAnsi="Carlito"/>
          <w:sz w:val="24"/>
          <w:szCs w:val="24"/>
        </w:rPr>
      </w:pPr>
      <w:r>
        <w:rPr>
          <w:rFonts w:cs="Arial" w:ascii="Carlito" w:hAnsi="Carlito"/>
          <w:sz w:val="24"/>
          <w:szCs w:val="24"/>
        </w:rPr>
        <w:t>A aplicação de qualquer das penalidades previstas realizar-se-á em processo administrativo que assegurará o contraditório e a ampla defesa observando-se o procedimento previsto na Lei nº 8.666, de 1993, e subsidiariamente na Lei nº 9.784, de 1999.</w:t>
      </w:r>
    </w:p>
    <w:p>
      <w:pPr>
        <w:pStyle w:val="ListParagraph"/>
        <w:numPr>
          <w:ilvl w:val="1"/>
          <w:numId w:val="2"/>
        </w:numPr>
        <w:spacing w:lineRule="auto" w:line="240"/>
        <w:rPr>
          <w:rFonts w:ascii="Carlito" w:hAnsi="Carlito"/>
          <w:sz w:val="24"/>
          <w:szCs w:val="24"/>
        </w:rPr>
      </w:pPr>
      <w:r>
        <w:rPr>
          <w:rFonts w:cs="Arial" w:ascii="Carlito" w:hAnsi="Carlito"/>
          <w:sz w:val="24"/>
          <w:szCs w:val="24"/>
        </w:rPr>
        <w:t>A autoridade competente, na aplicação das sanções, levará em consideração a gravidade da conduta do infrator, o caráter educativo da pena, bem como o dano causado à Administração, observado o princípio da proporcionalidade.</w:t>
      </w:r>
    </w:p>
    <w:p>
      <w:pPr>
        <w:pStyle w:val="ListParagraph"/>
        <w:numPr>
          <w:ilvl w:val="1"/>
          <w:numId w:val="2"/>
        </w:numPr>
        <w:spacing w:lineRule="auto" w:line="240"/>
        <w:rPr>
          <w:rFonts w:ascii="Carlito" w:hAnsi="Carlito"/>
          <w:sz w:val="24"/>
          <w:szCs w:val="24"/>
        </w:rPr>
      </w:pPr>
      <w:r>
        <w:rPr>
          <w:rFonts w:cs="Arial" w:ascii="Carlito" w:hAnsi="Carlito"/>
          <w:sz w:val="24"/>
          <w:szCs w:val="24"/>
        </w:rPr>
        <w:t>As penalidades serão obrigatoriamente registradas no SICAF.</w:t>
      </w:r>
    </w:p>
    <w:p>
      <w:pPr>
        <w:pStyle w:val="Nivel2"/>
        <w:numPr>
          <w:ilvl w:val="0"/>
          <w:numId w:val="0"/>
        </w:numPr>
        <w:ind w:left="0" w:hanging="0"/>
        <w:rPr>
          <w:rFonts w:cs="Arial"/>
          <w:color w:val="000000"/>
        </w:rPr>
      </w:pPr>
      <w:r>
        <w:rPr>
          <w:rFonts w:cs="Arial"/>
          <w:color w:val="000000"/>
        </w:rPr>
      </w:r>
    </w:p>
    <w:p>
      <w:pPr>
        <w:pStyle w:val="ListParagraph"/>
        <w:numPr>
          <w:ilvl w:val="0"/>
          <w:numId w:val="0"/>
        </w:numPr>
        <w:spacing w:lineRule="auto" w:line="240"/>
        <w:jc w:val="right"/>
        <w:rPr/>
      </w:pPr>
      <w:r>
        <w:rPr>
          <w:rFonts w:ascii="Carlito" w:hAnsi="Carlito"/>
          <w:sz w:val="24"/>
          <w:szCs w:val="24"/>
        </w:rPr>
        <w:t>João Pessoa, 15 de abril de 2019.</w:t>
      </w:r>
    </w:p>
    <w:p>
      <w:pPr>
        <w:pStyle w:val="ListParagraph"/>
        <w:numPr>
          <w:ilvl w:val="0"/>
          <w:numId w:val="0"/>
        </w:numPr>
        <w:spacing w:lineRule="auto" w:line="240"/>
        <w:jc w:val="right"/>
        <w:rPr>
          <w:rFonts w:ascii="Carlito" w:hAnsi="Carlito"/>
          <w:sz w:val="24"/>
          <w:szCs w:val="24"/>
        </w:rPr>
      </w:pPr>
      <w:r>
        <w:rPr>
          <w:rFonts w:ascii="Carlito" w:hAnsi="Carlito"/>
          <w:sz w:val="24"/>
          <w:szCs w:val="24"/>
        </w:rPr>
      </w:r>
    </w:p>
    <w:p>
      <w:pPr>
        <w:pStyle w:val="ListParagraph"/>
        <w:numPr>
          <w:ilvl w:val="0"/>
          <w:numId w:val="0"/>
        </w:numPr>
        <w:spacing w:lineRule="auto" w:line="240"/>
        <w:jc w:val="right"/>
        <w:rPr>
          <w:rFonts w:ascii="Carlito" w:hAnsi="Carlito"/>
          <w:sz w:val="24"/>
          <w:szCs w:val="24"/>
        </w:rPr>
      </w:pPr>
      <w:r>
        <w:rPr>
          <w:rFonts w:ascii="Carlito" w:hAnsi="Carlito"/>
          <w:sz w:val="24"/>
          <w:szCs w:val="24"/>
        </w:rPr>
      </w:r>
    </w:p>
    <w:p>
      <w:pPr>
        <w:pStyle w:val="ListParagraph"/>
        <w:numPr>
          <w:ilvl w:val="0"/>
          <w:numId w:val="0"/>
        </w:numPr>
        <w:spacing w:lineRule="auto" w:line="240"/>
        <w:jc w:val="right"/>
        <w:rPr>
          <w:rFonts w:ascii="Carlito" w:hAnsi="Carlito"/>
          <w:sz w:val="24"/>
          <w:szCs w:val="24"/>
        </w:rPr>
      </w:pPr>
      <w:r>
        <w:rPr>
          <w:rFonts w:ascii="Carlito" w:hAnsi="Carlito"/>
          <w:sz w:val="24"/>
          <w:szCs w:val="24"/>
        </w:rPr>
      </w:r>
    </w:p>
    <w:p>
      <w:pPr>
        <w:pStyle w:val="ListParagraph"/>
        <w:numPr>
          <w:ilvl w:val="0"/>
          <w:numId w:val="0"/>
        </w:numPr>
        <w:spacing w:lineRule="auto" w:line="240" w:before="0" w:after="0"/>
        <w:jc w:val="center"/>
        <w:rPr>
          <w:rFonts w:ascii="Carlito" w:hAnsi="Carlito"/>
          <w:sz w:val="24"/>
          <w:szCs w:val="24"/>
        </w:rPr>
      </w:pPr>
      <w:r>
        <w:rPr>
          <w:rFonts w:ascii="Carlito" w:hAnsi="Carlito"/>
          <w:b/>
          <w:sz w:val="24"/>
          <w:szCs w:val="24"/>
        </w:rPr>
        <w:t>RENAN DANTAS DA NÓBREGA</w:t>
      </w:r>
    </w:p>
    <w:p>
      <w:pPr>
        <w:pStyle w:val="ListParagraph"/>
        <w:numPr>
          <w:ilvl w:val="0"/>
          <w:numId w:val="0"/>
        </w:numPr>
        <w:spacing w:lineRule="auto" w:line="240" w:before="0" w:after="0"/>
        <w:jc w:val="center"/>
        <w:rPr>
          <w:rFonts w:ascii="Carlito" w:hAnsi="Carlito"/>
          <w:sz w:val="24"/>
          <w:szCs w:val="24"/>
        </w:rPr>
      </w:pPr>
      <w:r>
        <w:rPr>
          <w:rFonts w:ascii="Carlito" w:hAnsi="Carlito"/>
          <w:sz w:val="24"/>
          <w:szCs w:val="24"/>
        </w:rPr>
        <w:t>Coordenador de Obras de Engenharia</w:t>
      </w:r>
    </w:p>
    <w:p>
      <w:pPr>
        <w:pStyle w:val="ListParagraph"/>
        <w:numPr>
          <w:ilvl w:val="0"/>
          <w:numId w:val="0"/>
        </w:numPr>
        <w:spacing w:lineRule="auto" w:line="240" w:before="0" w:after="0"/>
        <w:jc w:val="center"/>
        <w:rPr>
          <w:rFonts w:ascii="Carlito" w:hAnsi="Carlito"/>
          <w:sz w:val="24"/>
          <w:szCs w:val="24"/>
        </w:rPr>
      </w:pPr>
      <w:r>
        <w:rPr>
          <w:rFonts w:ascii="Carlito" w:hAnsi="Carlito"/>
          <w:sz w:val="24"/>
          <w:szCs w:val="24"/>
        </w:rPr>
      </w:r>
    </w:p>
    <w:p>
      <w:pPr>
        <w:pStyle w:val="ListParagraph"/>
        <w:numPr>
          <w:ilvl w:val="0"/>
          <w:numId w:val="0"/>
        </w:numPr>
        <w:spacing w:lineRule="auto" w:line="240" w:before="0" w:after="0"/>
        <w:jc w:val="center"/>
        <w:rPr>
          <w:rFonts w:ascii="Carlito" w:hAnsi="Carlito"/>
          <w:sz w:val="24"/>
          <w:szCs w:val="24"/>
        </w:rPr>
      </w:pPr>
      <w:r>
        <w:rPr>
          <w:rFonts w:ascii="Carlito" w:hAnsi="Carlito"/>
          <w:sz w:val="24"/>
          <w:szCs w:val="24"/>
        </w:rPr>
      </w:r>
    </w:p>
    <w:p>
      <w:pPr>
        <w:pStyle w:val="Normal"/>
        <w:spacing w:lineRule="auto" w:line="240"/>
        <w:rPr>
          <w:rFonts w:ascii="Carlito" w:hAnsi="Carlito"/>
          <w:sz w:val="24"/>
          <w:szCs w:val="24"/>
        </w:rPr>
      </w:pPr>
      <w:r>
        <w:rPr>
          <w:rFonts w:ascii="Carlito" w:hAnsi="Carlito"/>
          <w:sz w:val="24"/>
          <w:szCs w:val="24"/>
        </w:rPr>
        <w:t>Nos termos do art. 7, §2º, inciso I, da Lei 8.666/93,</w:t>
      </w:r>
      <w:r>
        <w:rPr>
          <w:rFonts w:ascii="Carlito" w:hAnsi="Carlito"/>
          <w:b/>
          <w:sz w:val="24"/>
          <w:szCs w:val="24"/>
        </w:rPr>
        <w:t xml:space="preserve"> </w:t>
      </w:r>
      <w:r>
        <w:rPr>
          <w:rFonts w:ascii="Carlito" w:hAnsi="Carlito"/>
          <w:sz w:val="24"/>
          <w:szCs w:val="24"/>
        </w:rPr>
        <w:t>aprovo o presente Projeto Básico.</w:t>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sz w:val="24"/>
          <w:szCs w:val="24"/>
        </w:rPr>
      </w:r>
    </w:p>
    <w:p>
      <w:pPr>
        <w:pStyle w:val="Normal"/>
        <w:spacing w:lineRule="auto" w:line="240" w:before="0" w:after="0"/>
        <w:jc w:val="center"/>
        <w:rPr>
          <w:rFonts w:ascii="Carlito" w:hAnsi="Carlito"/>
          <w:sz w:val="24"/>
          <w:szCs w:val="24"/>
        </w:rPr>
      </w:pPr>
      <w:r>
        <w:rPr>
          <w:rFonts w:ascii="Carlito" w:hAnsi="Carlito"/>
          <w:b/>
          <w:bCs/>
          <w:sz w:val="24"/>
          <w:szCs w:val="24"/>
        </w:rPr>
        <w:t>PABLO ANDREY ARRUDA DE ARAÚJO</w:t>
      </w:r>
    </w:p>
    <w:p>
      <w:pPr>
        <w:pStyle w:val="Normal"/>
        <w:spacing w:lineRule="auto" w:line="240" w:before="0" w:after="0"/>
        <w:jc w:val="center"/>
        <w:rPr/>
      </w:pPr>
      <w:r>
        <w:rPr>
          <w:rFonts w:ascii="Carlito" w:hAnsi="Carlito"/>
          <w:bCs/>
          <w:sz w:val="24"/>
          <w:szCs w:val="24"/>
        </w:rPr>
        <w:t>Pró-Reitoria de Administração e Finanças</w:t>
      </w:r>
    </w:p>
    <w:sectPr>
      <w:headerReference w:type="default" r:id="rId14"/>
      <w:type w:val="nextPage"/>
      <w:pgSz w:w="11906" w:h="16838"/>
      <w:pgMar w:left="1701" w:right="851" w:header="709" w:top="3277" w:footer="0"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Carlito">
    <w:altName w:val="Calibri"/>
    <w:charset w:val="00"/>
    <w:family w:val="roman"/>
    <w:pitch w:val="variable"/>
  </w:font>
  <w:font w:name="Liberation Sans">
    <w:altName w:val="Arial"/>
    <w:charset w:val="00"/>
    <w:family w:val="roman"/>
    <w:pitch w:val="variable"/>
  </w:font>
  <w:font w:name="Ecofont_Spranq_eco_Sans">
    <w:charset w:val="00"/>
    <w:family w:val="roman"/>
    <w:pitch w:val="variable"/>
  </w:font>
  <w:font w:name="Helvetica Neue">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666750" cy="706755"/>
          <wp:effectExtent l="0" t="0" r="0" b="0"/>
          <wp:docPr id="1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 descr=""/>
                  <pic:cNvPicPr>
                    <a:picLocks noChangeAspect="1" noChangeArrowheads="1"/>
                  </pic:cNvPicPr>
                </pic:nvPicPr>
                <pic:blipFill>
                  <a:blip r:embed="rId1"/>
                  <a:srcRect l="-242" t="-227" r="-242" b="-227"/>
                  <a:stretch>
                    <a:fillRect/>
                  </a:stretch>
                </pic:blipFill>
                <pic:spPr bwMode="auto">
                  <a:xfrm>
                    <a:off x="0" y="0"/>
                    <a:ext cx="666750" cy="706755"/>
                  </a:xfrm>
                  <a:prstGeom prst="rect">
                    <a:avLst/>
                  </a:prstGeom>
                </pic:spPr>
              </pic:pic>
            </a:graphicData>
          </a:graphic>
        </wp:inline>
      </w:drawing>
    </w:r>
  </w:p>
  <w:p>
    <w:pPr>
      <w:pStyle w:val="Normal"/>
      <w:spacing w:lineRule="auto" w:line="240" w:before="0" w:after="0"/>
      <w:jc w:val="center"/>
      <w:rPr>
        <w:rFonts w:ascii="Carlito" w:hAnsi="Carlito" w:cs="Carlito;Calibri"/>
        <w:bCs/>
        <w:sz w:val="24"/>
        <w:szCs w:val="24"/>
      </w:rPr>
    </w:pPr>
    <w:r>
      <w:rPr>
        <w:rFonts w:cs="Carlito;Calibri" w:ascii="Carlito" w:hAnsi="Carlito"/>
        <w:bCs/>
        <w:sz w:val="24"/>
        <w:szCs w:val="24"/>
      </w:rPr>
      <w:t>MINISTÉRIO DA EDUCAÇÃO</w:t>
    </w:r>
  </w:p>
  <w:p>
    <w:pPr>
      <w:pStyle w:val="Normal"/>
      <w:spacing w:lineRule="auto" w:line="240" w:before="0" w:after="0"/>
      <w:jc w:val="center"/>
      <w:rPr>
        <w:rFonts w:ascii="Carlito" w:hAnsi="Carlito" w:cs="Carlito;Calibri"/>
        <w:bCs/>
        <w:sz w:val="24"/>
        <w:szCs w:val="24"/>
      </w:rPr>
    </w:pPr>
    <w:r>
      <w:rPr>
        <w:rFonts w:cs="Carlito;Calibri" w:ascii="Carlito" w:hAnsi="Carlito"/>
        <w:bCs/>
        <w:sz w:val="24"/>
        <w:szCs w:val="24"/>
      </w:rPr>
      <w:t>Secretaria de Educação Profissional e Tecnológica</w:t>
    </w:r>
  </w:p>
  <w:p>
    <w:pPr>
      <w:pStyle w:val="Normal"/>
      <w:spacing w:lineRule="auto" w:line="240" w:before="0" w:after="0"/>
      <w:jc w:val="center"/>
      <w:rPr>
        <w:rFonts w:ascii="Carlito" w:hAnsi="Carlito" w:cs="Carlito;Calibri"/>
        <w:bCs/>
        <w:sz w:val="24"/>
        <w:szCs w:val="24"/>
      </w:rPr>
    </w:pPr>
    <w:r>
      <w:rPr>
        <w:rFonts w:cs="Carlito;Calibri" w:ascii="Carlito" w:hAnsi="Carlito"/>
        <w:bCs/>
        <w:sz w:val="24"/>
        <w:szCs w:val="24"/>
      </w:rPr>
      <w:t>Instituto Federal de Educação, Ciência e Tecnologia da Paraíba</w:t>
    </w:r>
  </w:p>
  <w:p>
    <w:pPr>
      <w:pStyle w:val="Normal"/>
      <w:spacing w:lineRule="auto" w:line="240" w:before="0" w:after="200"/>
      <w:jc w:val="center"/>
      <w:rPr>
        <w:rFonts w:ascii="Carlito" w:hAnsi="Carlito" w:cs="Carlito;Calibri"/>
        <w:bCs/>
        <w:sz w:val="24"/>
        <w:szCs w:val="24"/>
      </w:rPr>
    </w:pPr>
    <w:r>
      <w:rPr>
        <w:rFonts w:cs="Carlito;Calibri" w:ascii="Carlito" w:hAnsi="Carlito"/>
        <w:bCs/>
        <w:sz w:val="24"/>
        <w:szCs w:val="24"/>
      </w:rPr>
      <w:t>Pró-Reitoria de Administração e Finanças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decimal"/>
      <w:lvlText w:val="%1."/>
      <w:lvlJc w:val="left"/>
      <w:pPr>
        <w:ind w:left="36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360" w:hanging="360"/>
      </w:pPr>
    </w:lvl>
    <w:lvl w:ilvl="1">
      <w:start w:val="1"/>
      <w:numFmt w:val="decimal"/>
      <w:lvlText w:val="%1.%2."/>
      <w:lvlJc w:val="left"/>
      <w:pPr>
        <w:ind w:left="0" w:hanging="0"/>
      </w:pPr>
      <w:rPr>
        <w:sz w:val="24"/>
        <w:b/>
        <w:szCs w:val="24"/>
        <w:rFonts w:ascii="Carlito" w:hAnsi="Carlito"/>
        <w:color w:val="auto"/>
      </w:rPr>
    </w:lvl>
    <w:lvl w:ilvl="2">
      <w:start w:val="1"/>
      <w:numFmt w:val="decimal"/>
      <w:lvlText w:val="%1.%2.%3."/>
      <w:lvlJc w:val="left"/>
      <w:pPr>
        <w:ind w:left="357" w:hanging="0"/>
      </w:pPr>
    </w:lvl>
    <w:lvl w:ilvl="3">
      <w:start w:val="1"/>
      <w:numFmt w:val="decimal"/>
      <w:lvlText w:val="%1.%2.%3.%4."/>
      <w:lvlJc w:val="left"/>
      <w:pPr>
        <w:ind w:left="714" w:hanging="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lvl w:ilvl="0">
      <w:start w:val="3"/>
      <w:numFmt w:val="decimal"/>
      <w:lvlText w:val="%1"/>
      <w:lvlJc w:val="left"/>
      <w:pPr>
        <w:ind w:left="360" w:hanging="360"/>
      </w:pPr>
    </w:lvl>
    <w:lvl w:ilvl="1">
      <w:start w:val="1"/>
      <w:numFmt w:val="decimal"/>
      <w:lvlText w:val="%1.%2"/>
      <w:lvlJc w:val="left"/>
      <w:pPr>
        <w:ind w:left="360" w:hanging="360"/>
      </w:pPr>
      <w:rPr>
        <w:sz w:val="24"/>
        <w:b/>
        <w:rFonts w:ascii="Carlito" w:hAnsi="Carli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lvl w:ilvl="0">
      <w:start w:val="4"/>
      <w:numFmt w:val="decimal"/>
      <w:lvlText w:val="%1"/>
      <w:lvlJc w:val="left"/>
      <w:pPr>
        <w:ind w:left="360" w:hanging="360"/>
      </w:pPr>
    </w:lvl>
    <w:lvl w:ilvl="1">
      <w:start w:val="1"/>
      <w:numFmt w:val="decimal"/>
      <w:lvlText w:val="%1.%2"/>
      <w:lvlJc w:val="left"/>
      <w:pPr>
        <w:ind w:left="360" w:hanging="360"/>
      </w:pPr>
      <w:rPr>
        <w:sz w:val="24"/>
        <w:b/>
        <w:rFonts w:ascii="Carlito" w:hAnsi="Carlito"/>
        <w:color w:val="auto"/>
      </w:rPr>
    </w:lvl>
    <w:lvl w:ilvl="2">
      <w:start w:val="1"/>
      <w:numFmt w:val="decimal"/>
      <w:lvlText w:val="%1.%2.%3"/>
      <w:lvlJc w:val="left"/>
      <w:pPr>
        <w:ind w:left="720" w:hanging="720"/>
      </w:pPr>
      <w:rPr>
        <w:i w:val="false"/>
        <w:b/>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6"/>
  <w:defaultTabStop w:val="347"/>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20d41"/>
    <w:pPr>
      <w:widowControl/>
      <w:bidi w:val="0"/>
      <w:spacing w:lineRule="auto" w:line="360" w:before="0" w:after="200"/>
      <w:jc w:val="both"/>
    </w:pPr>
    <w:rPr>
      <w:rFonts w:ascii="Arial" w:hAnsi="Arial" w:eastAsia="Calibri" w:cs=""/>
      <w:color w:val="000000" w:themeColor="text1"/>
      <w:kern w:val="0"/>
      <w:sz w:val="20"/>
      <w:szCs w:val="22"/>
      <w:lang w:val="pt-BR" w:eastAsia="en-US" w:bidi="ar-SA"/>
    </w:rPr>
  </w:style>
  <w:style w:type="paragraph" w:styleId="Ttulo1">
    <w:name w:val="Heading 1"/>
    <w:basedOn w:val="Normal"/>
    <w:next w:val="Normal"/>
    <w:link w:val="Ttulo1Char"/>
    <w:uiPriority w:val="9"/>
    <w:qFormat/>
    <w:rsid w:val="005e4d96"/>
    <w:pPr>
      <w:keepNext w:val="true"/>
      <w:keepLines/>
      <w:numPr>
        <w:ilvl w:val="0"/>
        <w:numId w:val="1"/>
      </w:numPr>
      <w:pBdr>
        <w:bottom w:val="single" w:sz="8" w:space="1" w:color="3FA14C"/>
      </w:pBdr>
      <w:spacing w:lineRule="auto" w:line="240" w:before="480" w:after="240"/>
      <w:outlineLvl w:val="0"/>
    </w:pPr>
    <w:rPr>
      <w:rFonts w:eastAsia="" w:cs="" w:cstheme="majorBidi" w:eastAsiaTheme="majorEastAsia"/>
      <w:b/>
      <w:bCs/>
      <w:szCs w:val="28"/>
    </w:rPr>
  </w:style>
  <w:style w:type="paragraph" w:styleId="Ttulo4">
    <w:name w:val="Heading 4"/>
    <w:basedOn w:val="Normal"/>
    <w:next w:val="Normal"/>
    <w:link w:val="Ttulo4Char"/>
    <w:uiPriority w:val="9"/>
    <w:semiHidden/>
    <w:unhideWhenUsed/>
    <w:qFormat/>
    <w:rsid w:val="001d4685"/>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qFormat/>
    <w:rsid w:val="00820d41"/>
    <w:rPr/>
  </w:style>
  <w:style w:type="character" w:styleId="RodapChar" w:customStyle="1">
    <w:name w:val="Rodapé Char"/>
    <w:basedOn w:val="DefaultParagraphFont"/>
    <w:link w:val="Rodap"/>
    <w:uiPriority w:val="99"/>
    <w:qFormat/>
    <w:rsid w:val="00820d41"/>
    <w:rPr/>
  </w:style>
  <w:style w:type="character" w:styleId="TtuloChar" w:customStyle="1">
    <w:name w:val="Título Char"/>
    <w:basedOn w:val="DefaultParagraphFont"/>
    <w:link w:val="Ttulo"/>
    <w:uiPriority w:val="10"/>
    <w:qFormat/>
    <w:rsid w:val="00820d41"/>
    <w:rPr>
      <w:rFonts w:ascii="Arial" w:hAnsi="Arial" w:eastAsia="" w:cs="" w:cstheme="majorBidi" w:eastAsiaTheme="majorEastAsia"/>
      <w:color w:val="000000" w:themeColor="text1"/>
      <w:spacing w:val="5"/>
      <w:kern w:val="2"/>
      <w:sz w:val="20"/>
      <w:szCs w:val="52"/>
    </w:rPr>
  </w:style>
  <w:style w:type="character" w:styleId="Ttulo1Char" w:customStyle="1">
    <w:name w:val="Título 1 Char"/>
    <w:basedOn w:val="DefaultParagraphFont"/>
    <w:link w:val="Ttulo1"/>
    <w:uiPriority w:val="9"/>
    <w:qFormat/>
    <w:rsid w:val="005e4d96"/>
    <w:rPr>
      <w:rFonts w:ascii="Arial" w:hAnsi="Arial" w:eastAsia="" w:cs="" w:cstheme="majorBidi" w:eastAsiaTheme="majorEastAsia"/>
      <w:b/>
      <w:bCs/>
      <w:color w:val="000000" w:themeColor="text1"/>
      <w:sz w:val="20"/>
      <w:szCs w:val="28"/>
    </w:rPr>
  </w:style>
  <w:style w:type="character" w:styleId="Nivel01Char" w:customStyle="1">
    <w:name w:val="Nivel 01 Char"/>
    <w:basedOn w:val="DefaultParagraphFont"/>
    <w:link w:val="Nivel01"/>
    <w:qFormat/>
    <w:locked/>
    <w:rsid w:val="00597170"/>
    <w:rPr>
      <w:rFonts w:ascii="Arial" w:hAnsi="Arial" w:eastAsia="" w:cs="" w:cstheme="majorBidi" w:eastAsiaTheme="majorEastAsia"/>
      <w:b/>
      <w:bCs/>
      <w:color w:val="000000"/>
      <w:sz w:val="28"/>
      <w:szCs w:val="32"/>
    </w:rPr>
  </w:style>
  <w:style w:type="character" w:styleId="CitaoChar" w:customStyle="1">
    <w:name w:val="Citação Char"/>
    <w:basedOn w:val="DefaultParagraphFont"/>
    <w:link w:val="Citao"/>
    <w:uiPriority w:val="29"/>
    <w:qFormat/>
    <w:rsid w:val="00e25fed"/>
    <w:rPr>
      <w:rFonts w:ascii="Arial" w:hAnsi="Arial"/>
      <w:i/>
      <w:iCs/>
      <w:color w:val="000000" w:themeColor="text1"/>
      <w:sz w:val="20"/>
    </w:rPr>
  </w:style>
  <w:style w:type="character" w:styleId="Ttulo4Char" w:customStyle="1">
    <w:name w:val="Título 4 Char"/>
    <w:basedOn w:val="DefaultParagraphFont"/>
    <w:link w:val="Ttulo4"/>
    <w:uiPriority w:val="9"/>
    <w:semiHidden/>
    <w:qFormat/>
    <w:rsid w:val="001d4685"/>
    <w:rPr>
      <w:rFonts w:ascii="Cambria" w:hAnsi="Cambria" w:eastAsia="" w:cs="" w:asciiTheme="majorHAnsi" w:cstheme="majorBidi" w:eastAsiaTheme="majorEastAsia" w:hAnsiTheme="majorHAnsi"/>
      <w:b/>
      <w:bCs/>
      <w:i/>
      <w:iCs/>
      <w:color w:val="4F81BD" w:themeColor="accent1"/>
      <w:sz w:val="20"/>
    </w:rPr>
  </w:style>
  <w:style w:type="character" w:styleId="GradeColoridanfase1Char" w:customStyle="1">
    <w:name w:val="Grade Colorida - Ênfase 1 Char"/>
    <w:link w:val="GradeColorida-nfase11"/>
    <w:uiPriority w:val="29"/>
    <w:qFormat/>
    <w:rsid w:val="003212db"/>
    <w:rPr>
      <w:rFonts w:ascii="Arial" w:hAnsi="Arial" w:eastAsia="Calibri" w:cs="Tahoma"/>
      <w:i/>
      <w:iCs/>
      <w:color w:val="000000"/>
      <w:sz w:val="20"/>
      <w:szCs w:val="24"/>
      <w:shd w:fill="FFFFCC" w:val="clear"/>
    </w:rPr>
  </w:style>
  <w:style w:type="character" w:styleId="Normalchar1" w:customStyle="1">
    <w:name w:val="normal__char1"/>
    <w:qFormat/>
    <w:rsid w:val="00d24ef4"/>
    <w:rPr>
      <w:rFonts w:ascii="Arial" w:hAnsi="Arial" w:cs="Arial"/>
      <w:strike w:val="false"/>
      <w:dstrike w:val="false"/>
      <w:sz w:val="24"/>
      <w:szCs w:val="24"/>
      <w:u w:val="none"/>
      <w:effect w:val="none"/>
    </w:rPr>
  </w:style>
  <w:style w:type="character" w:styleId="LinkdaInternet">
    <w:name w:val="Link da Internet"/>
    <w:rsid w:val="00d24ef4"/>
    <w:rPr>
      <w:color w:val="000080"/>
      <w:u w:val="single"/>
    </w:rPr>
  </w:style>
  <w:style w:type="character" w:styleId="Nivel1Char" w:customStyle="1">
    <w:name w:val="Nivel1 Char"/>
    <w:basedOn w:val="Ttulo1Char"/>
    <w:link w:val="Nivel1"/>
    <w:qFormat/>
    <w:rsid w:val="00d24ef4"/>
    <w:rPr>
      <w:rFonts w:ascii="Arial" w:hAnsi="Arial" w:eastAsia="" w:cs="Arial" w:eastAsiaTheme="majorEastAsia"/>
      <w:b/>
      <w:bCs w:val="false"/>
      <w:color w:val="000000"/>
      <w:sz w:val="20"/>
      <w:szCs w:val="20"/>
      <w:lang w:eastAsia="pt-BR"/>
    </w:rPr>
  </w:style>
  <w:style w:type="character" w:styleId="TextodebaloChar" w:customStyle="1">
    <w:name w:val="Texto de balão Char"/>
    <w:basedOn w:val="DefaultParagraphFont"/>
    <w:link w:val="Textodebalo"/>
    <w:uiPriority w:val="99"/>
    <w:semiHidden/>
    <w:qFormat/>
    <w:rsid w:val="009e6adb"/>
    <w:rPr>
      <w:rFonts w:ascii="Tahoma" w:hAnsi="Tahoma" w:cs="Tahoma"/>
      <w:color w:val="000000" w:themeColor="text1"/>
      <w:sz w:val="16"/>
      <w:szCs w:val="16"/>
    </w:rPr>
  </w:style>
  <w:style w:type="character" w:styleId="ListLabel1">
    <w:name w:val="ListLabel 1"/>
    <w:qFormat/>
    <w:rPr>
      <w:b/>
      <w:color w:val="auto"/>
    </w:rPr>
  </w:style>
  <w:style w:type="character" w:styleId="ListLabel2">
    <w:name w:val="ListLabel 2"/>
    <w:qFormat/>
    <w:rPr>
      <w:rFonts w:eastAsia="" w:cs=""/>
    </w:rPr>
  </w:style>
  <w:style w:type="character" w:styleId="ListLabel3">
    <w:name w:val="ListLabel 3"/>
    <w:qFormat/>
    <w:rPr>
      <w:b w:val="false"/>
    </w:rPr>
  </w:style>
  <w:style w:type="character" w:styleId="ListLabel4">
    <w:name w:val="ListLabel 4"/>
    <w:qFormat/>
    <w:rPr>
      <w:i w:val="false"/>
      <w:color w:val="auto"/>
    </w:rPr>
  </w:style>
  <w:style w:type="character" w:styleId="ListLabel5">
    <w:name w:val="ListLabel 5"/>
    <w:qFormat/>
    <w:rPr>
      <w:rFonts w:eastAsia="" w:cs=""/>
    </w:rPr>
  </w:style>
  <w:style w:type="character" w:styleId="ListLabel6">
    <w:name w:val="ListLabel 6"/>
    <w:qFormat/>
    <w:rPr>
      <w:b w:val="false"/>
    </w:rPr>
  </w:style>
  <w:style w:type="character" w:styleId="ListLabel7">
    <w:name w:val="ListLabel 7"/>
    <w:qFormat/>
    <w:rPr>
      <w:i w:val="false"/>
      <w:color w:val="auto"/>
    </w:rPr>
  </w:style>
  <w:style w:type="character" w:styleId="ListLabel8">
    <w:name w:val="ListLabel 8"/>
    <w:qFormat/>
    <w:rPr>
      <w:color w:val="auto"/>
    </w:rPr>
  </w:style>
  <w:style w:type="character" w:styleId="ListLabel9">
    <w:name w:val="ListLabel 9"/>
    <w:qFormat/>
    <w:rPr>
      <w:b/>
    </w:rPr>
  </w:style>
  <w:style w:type="character" w:styleId="ListLabel10">
    <w:name w:val="ListLabel 10"/>
    <w:qFormat/>
    <w:rPr>
      <w:color w:val="auto"/>
    </w:rPr>
  </w:style>
  <w:style w:type="character" w:styleId="ListLabel11">
    <w:name w:val="ListLabel 11"/>
    <w:qFormat/>
    <w:rPr>
      <w:color w:val="auto"/>
    </w:rPr>
  </w:style>
  <w:style w:type="character" w:styleId="ListLabel12">
    <w:name w:val="ListLabel 12"/>
    <w:qFormat/>
    <w:rPr>
      <w:color w:val="auto"/>
    </w:rPr>
  </w:style>
  <w:style w:type="character" w:styleId="ListLabel13">
    <w:name w:val="ListLabel 13"/>
    <w:qFormat/>
    <w:rPr>
      <w:b/>
      <w:color w:val="auto"/>
    </w:rPr>
  </w:style>
  <w:style w:type="character" w:styleId="ListLabel14">
    <w:name w:val="ListLabel 14"/>
    <w:qFormat/>
    <w:rPr>
      <w:b w:val="false"/>
      <w:i w:val="false"/>
      <w:color w:val="auto"/>
    </w:rPr>
  </w:style>
  <w:style w:type="character" w:styleId="ListLabel15">
    <w:name w:val="ListLabel 15"/>
    <w:qFormat/>
    <w:rPr>
      <w:color w:val="auto"/>
    </w:rPr>
  </w:style>
  <w:style w:type="character" w:styleId="ListLabel16">
    <w:name w:val="ListLabel 16"/>
    <w:qFormat/>
    <w:rPr>
      <w:color w:val="auto"/>
    </w:rPr>
  </w:style>
  <w:style w:type="character" w:styleId="ListLabel17">
    <w:name w:val="ListLabel 17"/>
    <w:qFormat/>
    <w:rPr>
      <w:color w:val="auto"/>
    </w:rPr>
  </w:style>
  <w:style w:type="character" w:styleId="ListLabel18">
    <w:name w:val="ListLabel 18"/>
    <w:qFormat/>
    <w:rPr>
      <w:color w:val="auto"/>
    </w:rPr>
  </w:style>
  <w:style w:type="character" w:styleId="ListLabel19">
    <w:name w:val="ListLabel 19"/>
    <w:qFormat/>
    <w:rPr>
      <w:b/>
      <w:color w:val="auto"/>
    </w:rPr>
  </w:style>
  <w:style w:type="character" w:styleId="ListLabel20">
    <w:name w:val="ListLabel 20"/>
    <w:qFormat/>
    <w:rPr>
      <w:b/>
    </w:rPr>
  </w:style>
  <w:style w:type="character" w:styleId="ListLabel21">
    <w:name w:val="ListLabel 21"/>
    <w:qFormat/>
    <w:rPr>
      <w:b/>
      <w:color w:val="auto"/>
    </w:rPr>
  </w:style>
  <w:style w:type="character" w:styleId="ListLabel22">
    <w:name w:val="ListLabel 22"/>
    <w:qFormat/>
    <w:rPr>
      <w:b/>
      <w:i w:val="false"/>
      <w:color w:val="auto"/>
    </w:rPr>
  </w:style>
  <w:style w:type="character" w:styleId="ListLabel23">
    <w:name w:val="ListLabel 23"/>
    <w:qFormat/>
    <w:rPr>
      <w:b/>
      <w:color w:val="auto"/>
      <w:sz w:val="24"/>
      <w:szCs w:val="24"/>
    </w:rPr>
  </w:style>
  <w:style w:type="character" w:styleId="ListLabel24">
    <w:name w:val="ListLabel 24"/>
    <w:qFormat/>
    <w:rPr>
      <w:b/>
    </w:rPr>
  </w:style>
  <w:style w:type="character" w:styleId="ListLabel25">
    <w:name w:val="ListLabel 25"/>
    <w:qFormat/>
    <w:rPr>
      <w:b/>
      <w:color w:val="auto"/>
    </w:rPr>
  </w:style>
  <w:style w:type="character" w:styleId="ListLabel26">
    <w:name w:val="ListLabel 26"/>
    <w:qFormat/>
    <w:rPr>
      <w:b/>
      <w:i w:val="false"/>
      <w:color w:val="auto"/>
    </w:rPr>
  </w:style>
  <w:style w:type="character" w:styleId="ListLabel71">
    <w:name w:val="ListLabel 71"/>
    <w:qFormat/>
    <w:rPr>
      <w:b/>
    </w:rPr>
  </w:style>
  <w:style w:type="character" w:styleId="ListLabel72">
    <w:name w:val="ListLabel 72"/>
    <w:qFormat/>
    <w:rPr>
      <w:b w:val="false"/>
      <w:i w:val="false"/>
      <w:strike w:val="false"/>
      <w:dstrike w:val="false"/>
      <w:color w:val="auto"/>
    </w:rPr>
  </w:style>
  <w:style w:type="character" w:styleId="ListLabel73">
    <w:name w:val="ListLabel 73"/>
    <w:qFormat/>
    <w:rPr>
      <w:b w:val="false"/>
      <w:i w:val="false"/>
      <w:color w:val="auto"/>
    </w:rPr>
  </w:style>
  <w:style w:type="character" w:styleId="ListLabel74">
    <w:name w:val="ListLabel 74"/>
    <w:qFormat/>
    <w:rPr>
      <w:rFonts w:ascii="Carlito" w:hAnsi="Carlito"/>
      <w:b/>
      <w:color w:val="auto"/>
      <w:sz w:val="24"/>
      <w:szCs w:val="24"/>
    </w:rPr>
  </w:style>
  <w:style w:type="character" w:styleId="ListLabel75">
    <w:name w:val="ListLabel 75"/>
    <w:qFormat/>
    <w:rPr>
      <w:rFonts w:ascii="Carlito" w:hAnsi="Carlito"/>
      <w:b/>
      <w:sz w:val="24"/>
    </w:rPr>
  </w:style>
  <w:style w:type="character" w:styleId="ListLabel76">
    <w:name w:val="ListLabel 76"/>
    <w:qFormat/>
    <w:rPr>
      <w:rFonts w:ascii="Carlito" w:hAnsi="Carlito"/>
      <w:b/>
      <w:color w:val="auto"/>
      <w:sz w:val="24"/>
    </w:rPr>
  </w:style>
  <w:style w:type="character" w:styleId="ListLabel77">
    <w:name w:val="ListLabel 77"/>
    <w:qFormat/>
    <w:rPr>
      <w:b/>
      <w:i w:val="false"/>
      <w:color w:val="auto"/>
    </w:rPr>
  </w:style>
  <w:style w:type="character" w:styleId="ListLabel78">
    <w:name w:val="ListLabel 78"/>
    <w:qFormat/>
    <w:rPr>
      <w:rFonts w:ascii="Carlito" w:hAnsi="Carlito"/>
      <w:b/>
      <w:color w:val="auto"/>
      <w:sz w:val="24"/>
      <w:szCs w:val="24"/>
    </w:rPr>
  </w:style>
  <w:style w:type="character" w:styleId="ListLabel79">
    <w:name w:val="ListLabel 79"/>
    <w:qFormat/>
    <w:rPr>
      <w:rFonts w:ascii="Carlito" w:hAnsi="Carlito"/>
      <w:b/>
      <w:sz w:val="24"/>
    </w:rPr>
  </w:style>
  <w:style w:type="character" w:styleId="ListLabel80">
    <w:name w:val="ListLabel 80"/>
    <w:qFormat/>
    <w:rPr>
      <w:rFonts w:ascii="Carlito" w:hAnsi="Carlito"/>
      <w:b/>
      <w:color w:val="auto"/>
      <w:sz w:val="24"/>
    </w:rPr>
  </w:style>
  <w:style w:type="character" w:styleId="ListLabel81">
    <w:name w:val="ListLabel 81"/>
    <w:qFormat/>
    <w:rPr>
      <w:b/>
      <w:i w:val="false"/>
      <w:color w:val="auto"/>
    </w:rPr>
  </w:style>
  <w:style w:type="character" w:styleId="ListLabel82">
    <w:name w:val="ListLabel 82"/>
    <w:qFormat/>
    <w:rPr>
      <w:rFonts w:ascii="Carlito" w:hAnsi="Carlito"/>
      <w:b/>
      <w:color w:val="auto"/>
      <w:sz w:val="24"/>
      <w:szCs w:val="24"/>
    </w:rPr>
  </w:style>
  <w:style w:type="character" w:styleId="ListLabel83">
    <w:name w:val="ListLabel 83"/>
    <w:qFormat/>
    <w:rPr>
      <w:rFonts w:ascii="Carlito" w:hAnsi="Carlito"/>
      <w:b/>
      <w:sz w:val="24"/>
    </w:rPr>
  </w:style>
  <w:style w:type="character" w:styleId="ListLabel84">
    <w:name w:val="ListLabel 84"/>
    <w:qFormat/>
    <w:rPr>
      <w:rFonts w:ascii="Carlito" w:hAnsi="Carlito"/>
      <w:b/>
      <w:color w:val="auto"/>
      <w:sz w:val="24"/>
    </w:rPr>
  </w:style>
  <w:style w:type="character" w:styleId="ListLabel85">
    <w:name w:val="ListLabel 85"/>
    <w:qFormat/>
    <w:rPr>
      <w:b/>
      <w:i w:val="false"/>
      <w:color w:val="auto"/>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
    <w:name w:val="Header"/>
    <w:basedOn w:val="Normal"/>
    <w:link w:val="CabealhoChar"/>
    <w:unhideWhenUsed/>
    <w:rsid w:val="00820d41"/>
    <w:pPr>
      <w:tabs>
        <w:tab w:val="clear" w:pos="347"/>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820d41"/>
    <w:pPr>
      <w:tabs>
        <w:tab w:val="clear" w:pos="347"/>
        <w:tab w:val="center" w:pos="4252" w:leader="none"/>
        <w:tab w:val="right" w:pos="8504" w:leader="none"/>
      </w:tabs>
      <w:spacing w:lineRule="auto" w:line="240" w:before="0" w:after="0"/>
    </w:pPr>
    <w:rPr/>
  </w:style>
  <w:style w:type="paragraph" w:styleId="Ttulododocumento">
    <w:name w:val="Title"/>
    <w:basedOn w:val="Normal"/>
    <w:next w:val="Normal"/>
    <w:link w:val="TtuloChar"/>
    <w:uiPriority w:val="10"/>
    <w:qFormat/>
    <w:rsid w:val="00820d41"/>
    <w:pPr>
      <w:spacing w:lineRule="auto" w:line="240" w:before="0" w:after="300"/>
      <w:contextualSpacing/>
      <w:jc w:val="center"/>
    </w:pPr>
    <w:rPr>
      <w:rFonts w:eastAsia="" w:cs="" w:cstheme="majorBidi" w:eastAsiaTheme="majorEastAsia"/>
      <w:spacing w:val="5"/>
      <w:kern w:val="2"/>
      <w:szCs w:val="52"/>
    </w:rPr>
  </w:style>
  <w:style w:type="paragraph" w:styleId="ListParagraph">
    <w:name w:val="List Paragraph"/>
    <w:basedOn w:val="Normal"/>
    <w:uiPriority w:val="34"/>
    <w:qFormat/>
    <w:rsid w:val="002e6f2a"/>
    <w:pPr/>
    <w:rPr/>
  </w:style>
  <w:style w:type="paragraph" w:styleId="Nivel01" w:customStyle="1">
    <w:name w:val="Nivel 01"/>
    <w:basedOn w:val="Ttulo1"/>
    <w:next w:val="Normal"/>
    <w:link w:val="Nivel01Char"/>
    <w:qFormat/>
    <w:rsid w:val="00597170"/>
    <w:pPr>
      <w:numPr>
        <w:ilvl w:val="0"/>
        <w:numId w:val="0"/>
      </w:numPr>
      <w:spacing w:lineRule="auto" w:line="276" w:before="480" w:after="120"/>
      <w:ind w:left="357" w:hanging="357"/>
    </w:pPr>
    <w:rPr>
      <w:color w:val="000000"/>
      <w:sz w:val="28"/>
      <w:szCs w:val="32"/>
    </w:rPr>
  </w:style>
  <w:style w:type="paragraph" w:styleId="Quote">
    <w:name w:val="Quote"/>
    <w:basedOn w:val="Normal"/>
    <w:next w:val="Normal"/>
    <w:link w:val="CitaoChar"/>
    <w:uiPriority w:val="29"/>
    <w:qFormat/>
    <w:rsid w:val="00e25fed"/>
    <w:pPr>
      <w:spacing w:lineRule="auto" w:line="240"/>
      <w:ind w:left="2552" w:hanging="0"/>
      <w:jc w:val="left"/>
    </w:pPr>
    <w:rPr>
      <w:i/>
      <w:iCs/>
    </w:rPr>
  </w:style>
  <w:style w:type="paragraph" w:styleId="Contrato" w:customStyle="1">
    <w:name w:val="contrato"/>
    <w:basedOn w:val="Normal"/>
    <w:qFormat/>
    <w:rsid w:val="00fb05b8"/>
    <w:pPr>
      <w:spacing w:lineRule="auto" w:line="240" w:before="0" w:after="0"/>
    </w:pPr>
    <w:rPr>
      <w:rFonts w:eastAsia="Times New Roman" w:cs="Times New Roman"/>
      <w:color w:val="auto"/>
      <w:sz w:val="22"/>
      <w:szCs w:val="20"/>
      <w:lang w:val="pt-PT" w:eastAsia="pt-BR"/>
    </w:rPr>
  </w:style>
  <w:style w:type="paragraph" w:styleId="GradeColoridanfase11" w:customStyle="1">
    <w:name w:val="Grade Colorida - Ênfase 11"/>
    <w:basedOn w:val="Normal"/>
    <w:next w:val="Normal"/>
    <w:link w:val="GradeColorida-nfase1Char"/>
    <w:uiPriority w:val="29"/>
    <w:qFormat/>
    <w:rsid w:val="003212db"/>
    <w:pPr>
      <w:pBdr>
        <w:top w:val="single" w:sz="4" w:space="1" w:color="1F497D"/>
        <w:left w:val="single" w:sz="4" w:space="4" w:color="1F497D"/>
        <w:bottom w:val="single" w:sz="4" w:space="1" w:color="1F497D"/>
        <w:right w:val="single" w:sz="4" w:space="4" w:color="1F497D"/>
      </w:pBdr>
      <w:shd w:val="clear" w:color="auto" w:fill="FFFFCC"/>
      <w:spacing w:lineRule="auto" w:line="240" w:before="120" w:after="0"/>
    </w:pPr>
    <w:rPr>
      <w:rFonts w:eastAsia="Calibri" w:cs="Tahoma"/>
      <w:i/>
      <w:iCs/>
      <w:color w:val="000000"/>
      <w:szCs w:val="24"/>
    </w:rPr>
  </w:style>
  <w:style w:type="paragraph" w:styleId="Nivel1" w:customStyle="1">
    <w:name w:val="Nivel1"/>
    <w:basedOn w:val="Ttulo1"/>
    <w:next w:val="Normal"/>
    <w:link w:val="Nivel1Char"/>
    <w:qFormat/>
    <w:rsid w:val="00d24ef4"/>
    <w:pPr>
      <w:numPr>
        <w:ilvl w:val="0"/>
        <w:numId w:val="0"/>
      </w:numPr>
      <w:spacing w:lineRule="auto" w:line="276" w:before="480" w:after="120"/>
      <w:ind w:left="357" w:hanging="357"/>
    </w:pPr>
    <w:rPr>
      <w:rFonts w:cs="Arial"/>
      <w:bCs w:val="false"/>
      <w:color w:val="000000"/>
      <w:szCs w:val="20"/>
      <w:lang w:eastAsia="pt-BR"/>
    </w:rPr>
  </w:style>
  <w:style w:type="paragraph" w:styleId="Default" w:customStyle="1">
    <w:name w:val="Default"/>
    <w:qFormat/>
    <w:rsid w:val="00c86cb7"/>
    <w:pPr>
      <w:widowControl/>
      <w:bidi w:val="0"/>
      <w:spacing w:lineRule="auto" w:line="240" w:before="0" w:after="0"/>
      <w:jc w:val="left"/>
    </w:pPr>
    <w:rPr>
      <w:rFonts w:ascii="Arial" w:hAnsi="Arial" w:eastAsia="Calibri" w:cs="Arial"/>
      <w:color w:val="000000"/>
      <w:kern w:val="0"/>
      <w:sz w:val="24"/>
      <w:szCs w:val="24"/>
      <w:lang w:val="pt-BR" w:eastAsia="en-US" w:bidi="ar-SA"/>
    </w:rPr>
  </w:style>
  <w:style w:type="paragraph" w:styleId="BalloonText">
    <w:name w:val="Balloon Text"/>
    <w:basedOn w:val="Normal"/>
    <w:link w:val="TextodebaloChar"/>
    <w:uiPriority w:val="99"/>
    <w:semiHidden/>
    <w:unhideWhenUsed/>
    <w:qFormat/>
    <w:rsid w:val="009e6adb"/>
    <w:pPr>
      <w:spacing w:lineRule="auto" w:line="240" w:before="0" w:after="0"/>
    </w:pPr>
    <w:rPr>
      <w:rFonts w:ascii="Tahoma" w:hAnsi="Tahoma" w:cs="Tahoma"/>
      <w:sz w:val="16"/>
      <w:szCs w:val="16"/>
    </w:rPr>
  </w:style>
  <w:style w:type="paragraph" w:styleId="Standard">
    <w:name w:val="Standard"/>
    <w:qFormat/>
    <w:pPr>
      <w:widowControl w:val="false"/>
      <w:suppressAutoHyphens w:val="true"/>
      <w:bidi w:val="0"/>
      <w:jc w:val="left"/>
      <w:textAlignment w:val="baseline"/>
    </w:pPr>
    <w:rPr>
      <w:rFonts w:ascii="Times New Roman" w:hAnsi="Times New Roman" w:eastAsia="SimSun;宋体" w:cs="Mangal"/>
      <w:color w:val="auto"/>
      <w:kern w:val="2"/>
      <w:sz w:val="24"/>
      <w:szCs w:val="24"/>
      <w:lang w:val="pt-BR" w:eastAsia="zh-CN" w:bidi="hi-IN"/>
    </w:rPr>
  </w:style>
  <w:style w:type="paragraph" w:styleId="Nivel2">
    <w:name w:val="Nivel 2"/>
    <w:qFormat/>
    <w:pPr>
      <w:widowControl/>
      <w:bidi w:val="0"/>
      <w:spacing w:lineRule="auto" w:line="276" w:before="120" w:after="120"/>
      <w:jc w:val="both"/>
    </w:pPr>
    <w:rPr>
      <w:rFonts w:ascii="Ecofont_Spranq_eco_Sans" w:hAnsi="Ecofont_Spranq_eco_Sans" w:eastAsia="Arial Unicode MS" w:cs="" w:cstheme="minorBidi"/>
      <w:color w:val="auto"/>
      <w:kern w:val="0"/>
      <w:sz w:val="20"/>
      <w:szCs w:val="22"/>
      <w:lang w:val="pt-BR" w:eastAsia="en-US"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db1b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eader" Target="head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Application>LibreOffice/6.1.5.2$Windows_X86_64 LibreOffice_project/90f8dcf33c87b3705e78202e3df5142b201bd805</Application>
  <Pages>14</Pages>
  <Words>3669</Words>
  <Characters>20165</Characters>
  <CharactersWithSpaces>23530</CharactersWithSpaces>
  <Paragraphs>239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2017-11-23T20:32:00Z</dcterms:created>
  <dc:creator>ifpb</dc:creator>
  <dc:description/>
  <dc:language>pt-BR</dc:language>
  <cp:lastModifiedBy/>
  <cp:lastPrinted>2019-04-15T09:22:23Z</cp:lastPrinted>
  <dcterms:modified xsi:type="dcterms:W3CDTF">2019-04-15T09:27:26Z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